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</w:pPr>
      <w:r>
        <w:rPr>
          <w:b/>
          <w:bCs/>
        </w:rPr>
        <w:t xml:space="preserve">RECTIFICARE nr. 169 din 5 august 2026</w:t>
      </w:r>
    </w:p>
    <w:p>
      <w:pPr>
        <w:pStyle w:val="Title"/>
        <w:keepNext/>
      </w:pPr>
      <w:r>
        <w:rPr>
          <w:b/>
          <w:bCs/>
        </w:rPr>
        <w:t xml:space="preserve">referitoare la Legea nr. 169/2026 privind Codul amenajării teritoriului, urbanismului și construcțiilor</w:t>
      </w:r>
    </w:p>
    <w:p>
      <w:pPr>
        <w:keepNext w:val="false"/>
      </w:pPr>
      <w:r>
        <w:rPr>
          <w:b w:val="false"/>
          <w:bCs w:val="false"/>
        </w:rPr>
        <w:t xml:space="preserve">EMITENT</w:t>
      </w:r>
    </w:p>
    <w:p>
      <w:pPr>
        <w:keepNext w:val="false"/>
      </w:pPr>
      <w:r>
        <w:rPr>
          <w:b w:val="false"/>
          <w:bCs w:val="false"/>
        </w:rPr>
        <w:t xml:space="preserve">PARLAMENTUL ROMÂNIEI</w:t>
      </w:r>
    </w:p>
    <w:p>
      <w:pPr>
        <w:keepNext w:val="false"/>
      </w:pPr>
      <w:r>
        <w:rPr>
          <w:b w:val="false"/>
          <w:bCs w:val="false"/>
        </w:rPr>
        <w:t xml:space="preserve">Publicat în</w:t>
      </w:r>
    </w:p>
    <w:p>
      <w:pPr>
        <w:keepNext w:val="false"/>
      </w:pPr>
      <w:r>
        <w:rPr>
          <w:b w:val="false"/>
          <w:bCs w:val="false"/>
        </w:rPr>
        <w:t xml:space="preserve">MONITORUL OFICIAL nr. 862 din 14 octombrie 2026</w:t>
      </w:r>
    </w:p>
    <w:p>
      <w:pPr>
        <w:keepNext w:val="false"/>
      </w:pPr>
      <w:r>
        <w:rPr>
          <w:b w:val="false"/>
          <w:bCs w:val="false"/>
        </w:rPr>
        <w:t xml:space="preserve">În cuprinsul Legii nr. 169/2026 privind Codul amenajării teritoriului, urbanismului și construcțiilor, publicată în Monitorul Oficial al României, Partea I, nr. 661 din 10 august 2026, se fac următoarele rectificări:– la art. 34 alin. (2) lit. u), în loc de: „..., în conformitate cu prevederile art. 195;“ se va citi: „..., în conformitate cu prevederile art. 194;“;– la art. 66 alin. (1) lit. c), în loc de: „... operațiunilor urbanistice descrise la art. 214 lit. d), ...“ se va citi: „... operațiunilor urbanistice descrise la art. 214 alin. (1) lit. d), ...“;– la art. 86 alin. (10) teza întâi, în loc de: „... planurile de urbanism zonale sau de detaliu ...“ se va citi: „... planurile urbanistice zonale sau proiectele urbanistice de detaliu ...“;– la art. 89 alin. (9) lit. a) teza întâi, în loc de: „..., cu excepția avizului de oportunitate și a avizului arhitectului-șef.“ se va citi: „..., cu excepția avizului de inițiere și a avizului arhitectului-șef.“;– la art. 91 alin. (1) lit. q), în loc de: „q) operatorii de distribuției a energiei electrice și gaze naturale, ...“ se va citi: „q) operatorii de distribuție a energiei electrice și a gazelor naturale, ...“;– la art. 92 alin. (10), în loc de: „(10) În termen de maximum 60 de zile lucrătoare de la intrarea în vigoare a prezentului cod, ...“ se va citi: „(10) În termen de maximum 45 de zile lucrătoare de la publicarea în Monitorul Oficial al României, Partea I, a prezentului cod, ...“;– la art. 117 alin. (2) lit. d), în loc de: „..., în conformitate cu prevederile art. 128.“ se va citi: „..., în conformitate cu prevederile art. 127.“;– la art. 118 alin. (2) lit. u), în loc de: „... în conformitate cu prevederile art. 317;“ se va citi: „... în conformitate cu prevederile art. 307;“;– la art. 121 alin. (3) lit. b), în loc de: „... în conformitate cu prevederile art. 317;“ se va citi: „... în conformitate cu prevederile art. 307;“;– la art. 121 alin. (5), în loc de: „..., care să asigure activitatea operațională prevăzute la alin. (3).“ se va citi: „..., care să asigure activitățile operaționale prevăzute la alin. (3).“;– la art. 123 alin. (3), în loc de: „... sau ori de cate ori apar modificări,...“ se va citi: „... sau ori de câte ori apar modificări, ...“;– la art. 124 alin. (12), în loc de: „..., în conformitate cu prevederile art. 136.“ se va citi: „..., în conformitate cu prevederile art. 135.“;– la art. 134 alin. (2), în loc de: „... în condițiile art. 136.“ se va citi: „... în condițiile art. 135.“;– la art. 143 alin. (6), în loc de: „..., conform art. 288.“ se va citi: „..., conform art. 278.“;– la art. 144 alin. (1) lit. a), în loc de: „..., potrivit capitolului III din titlului II, cartea I din prezentul cod;“ se va citi: „..., potrivit capitolului III din titlul II al părții I a cărții I din prezentul cod;“;– la art. 144 alin. (1) lit. g), în loc de: „... persoanele prevăzute la art. 129 alin. (3);“ se va citi: „... persoanele prevăzute la art. 128 alin. (3);“;– la art. 144 alin. (1) lit. j), în loc de: „j) avizarea și aprobare de documentații ...“ se va citi: „j) avizarea și aprobarea documentațiilor ...“;– la art. 144 alin. (1) lit. l), în loc de: „... persoanele prevăzute la art. 126 alin. (2) și (7), ...“ se va citi: „... persoanele prevăzute la art. 126 alin. (2) și (6), ...“;– la art. 144 alin. (1) lit. u), în loc de: „... termenului prevăzut la art. 69 alin. (10) ...“ se va citi: „... termenului prevăzut la art. 69 alin. (9) teza întâi ...“;– la art. 144 alin. (1) lit. v), în loc de: „..., în termenul prevăzut la art. 69 alin. (10) teza a doua;“ se va citi: „..., în termenul prevăzut la art. 69 alin. (9) teza a doua;“;– la art. 144 alin. (1) lit. w), în loc de: „... în termenul prevăzut la art. 69 alin. (11).“ se va citi: „... în termenul prevăzut la art. 69 alin. (10).“;– la art. 150 alin. (14), în loc de: „..., conform art. 161 alin. (1) lit. a), ...“ se va citi: „..., conform art. 160 alin. (1) lit. a), ...“;– la art. 189 alin. (5), în loc de: „... emis de Ministerului Culturii ...“ se va citi: „... emis de Ministerul Culturii ...“;– la art. 197 alin. (2), în loc de: „... florei si faunei sălbatice, ...“ se va citi: „... florei și faunei sălbatice, ...“;– la art. 229 alin. (1), în loc de: „... sau in intravilanul ...“ se va citi: „... sau în intravilanul ...“;– la art. 231 lit. g), în loc de: „g) introducerea in intravilan ...“ se va citi: „g) introducerea în intravilan ...“;– la art. 235 alin. (1) lit. e), în loc de: „..., cu modificările si completările ulterioare.“ se va citi: „..., cu modificările și completările ulterioare.“;– la art. 244, în loc de: „... încălcarea prevederilor art. 190 alin. (4) și se sancționează cu închisoare de la 6 luni la 3 ani sau cu amendă, cu excepția zonelor protejate menționate la art. 187 alin. (2) lit. c), ...“ se va citi: „... încălcarea prevederilor art. 189 alin. (4) și se sancționează cu închisoare de la 6 luni la 3 ani sau cu amendă, cu excepția zonelor protejate menționate la art. 186 alin. (2) lit. c), ...“;– la art. 252 lit. f), în loc de: „... funcționalizarea podurilor, clădirilor existente, ...“ se va citi: „... funcționalizarea podurilor clădirilor existente, ...“;– la art. 254 alin. (9), în loc de: „(9) Prin excepție de la alin. (7), ...“ se va citi: „(9) Prin excepție de la alin. (8), ...“;– la art. 256 alin. (5), în loc de: „..., de secretar și de arhitectul-șef ...“ se va citi: „..., de secretarul general și de arhitectul-șef ...“;– la art. 257 alin. (8) lit. a) teza a II-a, în loc de: „... localizarea exactă imobilului, ...“ se va citi: „... localizarea exactă a imobilului, ...“;– la art. 257 alin. (10), în loc de: „(10) În cazul menționat la alin. (8) lit. b) și c), ...“ se va citi: „(10) În cazul menționat la alin. (9) lit. b) și c), ...“;– la art. 258 alin. (4), în loc de: „(4) Prin excepție de la alin. (3), ...“ se va citi: „(4) Prin excepție de la alin. (2), ...“;– la art. 272 alin. (1), în loc de: „... prevăzute la art. 281 alin. (1), ...“ se va citi: „... prevăzute la art. 271 alin. (1), ...“;– la art. 272 alin. (4), în loc de: „... prevăzute la art. 281.“ se va citi: „... prevăzute la art. 271.“;– la art. 272 alin. (7), în loc de: „(7) Prevederile art. 281 alin. (4)-(5) rămân aplicabile.“ se va citi: „(7) Prevederile art. 271 alin. (4) și (5) rămân aplicabile.“;– la art. 274 alin. (7), în loc de: „... în conformitate cu prevederile art. 367 ...“ se va citi: „... în conformitate cu prevederile art. 357 ...“;– la art. 277 alin. (1), în loc de: „... se verifică conform art. 519 ...“ se va citi: „... se verifică conform art. 440 ...“;– la art. 303, în loc de: „..., emisă în condițiile art. 312, ...“ se va citi: „..., emisă în condițiile art. 302, ...“;– la art. 314 alin. (9), în loc de: „..., informațiile prevăzute la alin. (4), ...“ se va citi: „..., informațiile prevăzute la alin. (5), ...“;– la art. 316 alin. (1) lit. d), în loc de: „..., în condițiile art. 279 alin. (4) sau în termenele prevăzute la art. 279 alin. (10);“ se va citi: „..., în condițiile art. 269 alin. (4) sau în termenele prevăzute la art. 269 alin. (10);“;– la art. 316 alin. (1) lit. l), în loc de: „..., în condițiile art. 279, ...“ se va citi: „..., în condițiile art. 269, ...“;– la art. 316 alin. (3), în loc de: „... prevăzute la art. 336 alin. (3) lit. g) ...“ se va citi: „... prevăzute la art. 326 alin. (3) lit. g) ...“;– la art. 323, în loc de: „Terenurile prevăzute la art. 329, ...“ se va citi: „Terenurile prevăzute la art. 319, ...“;– la art. 344 alin. (2), în loc de: „(2) Prin excepție de la art. 254 alin. (10) ...“ se va citi: „(2) Prin excepție de la art. 257 alin. (8) ...“;– la art. 357 alin. (1) lit. q), în loc de: „... în condițiile prevăzute de art. 121 alin. (2) lit. g);“ se va citi: „... în condițiile prevăzute de art. 118 alin. (2) lit. z);“;– la art. 357 alin. (1) lit. w), în loc de: „... operatorii rețelelor de utilități privind deconectare de la rețea și încetare de îndată ...“ se va citi: „... operatorilor rețelelor de utilități privind deconectarea de la rețea și încetarea de îndată ...“;– la art. 357 alin. (1) lit. x), în loc de: „..., conform prevederilor art. 279 alin. (13) lit. b);“ se va citi: „..., conform prevederilor art. 269 alin. (13) lit. b);“;– la art. 358 alin. (5), în loc de: „... prin grija primarului sau a președintele consiliului județean, ...“ se va citi: „... prin grija primarului sau a președintelui consiliului județean, ...“;– la art. 368 alin. (5), în loc de: „... este durată stabilită de către proiectant, ...“ se va citi: „... este durata stabilită de către proiectant, ...“;– la art. 368 alin. (11), în loc de: „... este perioadă cuprinsă între ...“ se va citi: „... este perioada cuprinsă între ...“;– la art. 404 alin. (1), în loc de: „..., potrivit art. 494 alin. (1) lit. o).“ se va citi: „..., potrivit art. 486 alin. (1) lit. o).“;– la art. 407 alin. (1), în loc de: „... cum este definită la art. 537, ...“ se va citi: „... cum este definită la art. 529, ...“;– la art. 422 alin. (2), în loc de: „(2) Orice beneficiar, în înțelesul art. 431, ...“ se va citi: „(2) Orice beneficiar, în înțelesul art. 420, ...“;– la art. 424 alin. (2), în loc de: „... definite expres la art. 437 alin. (1) lit. e), h), i), j) și k), ...“ se va citi: „... definite expres la art. 426 alin. (1) lit. e), h), i), j) și k), ...“;– la art. 446 alin. (2) lit. a), în loc de: „..., conform art. 452 alin. (4);“ se va citi: „..., conform art. 442 alin. (4);“;– la denumirea marginală a art. 455, în loc de: „... autorizarea si exercitarea ...“ se va citi: „... autorizarea și exercitarea ...“;– la art. 457 alin. (4), în loc de: „..., conform prevederilor art. 393 alin. (5).“ se va citi: „..., conform prevederilor art. 382 alin. (5).“;– la denumirea marginală a art. 458, în loc de: „... autorizarea si exercitarea ...“ se va citi: „... autorizarea și exercitarea ...“;– la art. 466 alin. (4) lit. h), în loc de: „..., în condițiile art. 514;“ se va citi: „..., în condițiile art. 521;“;– la art. 467 lit. e), în loc de: „... menționate la art. 567 lit. b);“ se va citi: „... menționate la art. 567 alin. (1) lit. b);“;– la art. 486 alin. (1) lit. o), în loc de: „... în conformitate cu art. 415.“ se va citi: „... în conformitate cu art. 404.“;– la art. 486 alin. (2) lit. a), în loc de: „..., hidrologice si topografice, ...“ se va citi: „..., hidrologice și topografice, ...“;– la art. 496 alin. (3), în loc de: „... potrivit regulilor prevăzute la art. 554.“ se va citi: „... potrivit regulilor prevăzute la art. 546.“;– la art. 497 alin. (1), în loc de: „... prin procedura definita la art. 502, ...“ se va citi: „... prin procedura definită la art. 502, ...“;– la art. 506 alin. (4), în loc de: „... într-o singura fază ... în cea de-a doua faza ...“ se va citi: „... într-o singură fază ... în cea de-a doua fază ...“;– la art. 530 alin. (5), în loc de: „(5) Obligația prevăzută la alin. (3) ...“ se va citi: „(5) Obligația prevăzută la alin. (4) ...“;– la art. 536 alin. (8), în loc de: „... cu cele menționate la art. 558 alin. (19)-(21) ...“ se va citi: „... cu cele menționate la art. 550 alin. (19)-(21) ...“;– la art. 550 alin. (21) lit. c), în loc de: „... construcției în ansamblul său a unor subsisteme ...“ se va citi: „... construcției în ansamblul său sau a unor subsisteme ...“;– la art. 570 alin. (1) lit. z), în loc de: „z) angajarea de către consultanți ...“ se va citi: „z) neangajarea de către consultanți ...“;– la art. 584 alin. (2), în loc de: „..., competențele și atribuțiile prevăzute la art. 132 și 134, ...“ se va citi: „..., competențele și atribuțiile prevăzute la art. 131 și 133, ...“;– la anexa nr. 1, la definiția termenului „SNAOPSN“, în loc de: „... Serviciul de Protecție și Pază, Ministerul Apărării Naționale, ...“ se va citi: „... Serviciul de Protecție și Pază, Serviciul de Telecomunicații Speciale, Ministerul Apărării Naționale, ...“;– la anexa nr. 6 „Încadrarea construcțiilor în clase de consecințe“, în coloana a șasea „Lucrări inginerești“, la rubrica a patra, în loc de: „Rezervoare de apă, stații de tratare, epurare și pompare și epurare a apei pentru situații de urgență“ se va citi: „Rezervoare de apă, stații de tratare, epurare și pompare a apei pentru situații de urgență“.</w:t>
      </w:r>
    </w:p>
    <w:p>
      <w:pPr>
        <w:keepNext w:val="false"/>
      </w:pPr>
      <w:r>
        <w:rPr>
          <w:b w:val="false"/>
          <w:bCs w:val="false"/>
        </w:rPr>
        <w:t xml:space="preserve">----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7"/>
        <w:szCs w:val="27"/>
      </w:rPr>
    </w:rPrDefault>
    <w:pPrDefault>
      <w:pPr>
        <w:widowControl/>
        <w:spacing w:after="0" w:before="0" w:line="324" w:lineRule="auto"/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keepNext/>
      <w:widowControl/>
      <w:spacing w:after="0" w:before="0" w:line="324" w:lineRule="auto"/>
      <w:jc w:val="left"/>
    </w:pPr>
    <w:rPr>
      <w:rFonts w:ascii="Arial" w:cs="Arial" w:eastAsia="Arial" w:hAnsi="Arial"/>
      <w:b/>
      <w:bCs/>
      <w:color w:val="000000"/>
      <w:sz w:val="27"/>
      <w:szCs w:val="27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Rectificare CATUC (M.Of. 862/14.10.2026)</dc:title>
  <dc:creator>CadLogic</dc:creator>
  <dc:description>Sursa oficială: https://legislatie.just.ro/Public/DetaliiDocument/315198</dc:description>
  <cp:lastModifiedBy>Un-named</cp:lastModifiedBy>
  <cp:revision>1</cp:revision>
  <dcterms:created xsi:type="dcterms:W3CDTF">2026-10-31T03:00:29.978Z</dcterms:created>
  <dcterms:modified xsi:type="dcterms:W3CDTF">2026-10-31T03:00:29.978Z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