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423 din 22 aprilie 2024</w:t>
      </w:r>
    </w:p>
    <w:p>
      <w:pPr>
        <w:pStyle w:val="Title"/>
        <w:keepNext/>
      </w:pPr>
      <w:r>
        <w:rPr>
          <w:b/>
          <w:bCs/>
        </w:rPr>
        <w:t xml:space="preserve">pentru completarea Regulamentului privind avizarea tehnică a expertizelor judiciare efectuate de experții judiciari în specialitatea topografie, cadastru și geodezie, aprobat prin Ordinul directorului general al Agenției Naționale de Cadastru și Publicitate Imobiliară nr. 1.218/2023</w:t>
      </w:r>
    </w:p>
    <w:p>
      <w:pPr>
        <w:keepNext w:val="false"/>
      </w:pPr>
      <w:r>
        <w:rPr>
          <w:b w:val="false"/>
          <w:bCs w:val="false"/>
        </w:rPr>
        <w:t xml:space="preserve">EMITENT</w:t>
      </w:r>
    </w:p>
    <w:p>
      <w:pPr>
        <w:keepNext w:val="false"/>
      </w:pPr>
      <w:r>
        <w:rPr>
          <w:b w:val="false"/>
          <w:bCs w:val="false"/>
        </w:rPr>
        <w:t xml:space="preserve">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437 din 13 mai 2024</w:t>
      </w:r>
    </w:p>
    <w:p>
      <w:pPr>
        <w:keepNext w:val="false"/>
      </w:pPr>
      <w:r>
        <w:rPr>
          <w:b w:val="false"/>
          <w:bCs w:val="false"/>
        </w:rPr>
        <w:t xml:space="preserve">Având în vedere prevederile art. 4 lit. l) din Legea cadastrului și a publicității imobiliare nr. 7/1996, republicată, cu modificările și completările ulterioare,</w:t>
      </w:r>
    </w:p>
    <w:p>
      <w:pPr>
        <w:keepNext w:val="false"/>
      </w:pPr>
      <w:r>
        <w:rPr>
          <w:b w:val="false"/>
          <w:bCs w:val="false"/>
        </w:rPr>
        <w:t xml:space="preserve">în temeiul art. 3 alin. (13) din Legea cadastrului și a publicității imobiliare nr. 7/1996, republicată, cu modificările și completările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I</w:t>
      </w:r>
    </w:p>
    <w:p>
      <w:pPr>
        <w:keepNext w:val="false"/>
      </w:pPr>
      <w:r>
        <w:rPr>
          <w:b w:val="false"/>
          <w:bCs w:val="false"/>
        </w:rPr>
        <w:t xml:space="preserve">Regulamentul privind avizarea tehnică a expertizelor judiciare efectuate de experții judiciari în specialitatea topografie, cadastru și geodezie, aprobat prin Ordinul directorului general al Agenției Naționale de Cadastru și Publicitate Imobiliară nr. 1.218/2023, publicat în Monitorul Oficial al României, Partea I, nr. 586 din 28 iunie 2023, se completează după cum urmează: – După articolul 10 se introduc patru noi articole, articolele 11-14, cu următorul cuprins:</w:t>
      </w:r>
    </w:p>
    <w:p>
      <w:pPr>
        <w:keepNext/>
      </w:pPr>
      <w:r>
        <w:rPr>
          <w:b/>
          <w:bCs/>
        </w:rPr>
        <w:t xml:space="preserve">Articolul 11</w:t>
      </w:r>
    </w:p>
    <w:p>
      <w:pPr>
        <w:keepNext w:val="false"/>
      </w:pPr>
      <w:r>
        <w:rPr>
          <w:b w:val="false"/>
          <w:bCs w:val="false"/>
        </w:rPr>
        <w:t xml:space="preserve">(1) Până la implementarea în sistemul informatic a funcționalităților tehnice necesare punerii în aplicare a prezentului regulament, avizarea expertizelor judiciare se va realiza de către Agenția Națională, prin oficiile teritoriale, conform prevederilor art. 12-14.</w:t>
      </w:r>
    </w:p>
    <w:p>
      <w:pPr>
        <w:keepNext w:val="false"/>
      </w:pPr>
      <w:r>
        <w:rPr>
          <w:b w:val="false"/>
          <w:bCs w:val="false"/>
        </w:rPr>
        <w:t xml:space="preserve">(2) Data la care vor fi implementate în sistemul informatic funcționalitățile tehnice necesare punerii în aplicare va fi comunicată prin afișare pe pagina de internet a Agenției Naționale.</w:t>
      </w:r>
    </w:p>
    <w:p>
      <w:pPr>
        <w:keepNext/>
      </w:pPr>
      <w:r>
        <w:rPr>
          <w:b/>
          <w:bCs/>
        </w:rPr>
        <w:t xml:space="preserve">Articolul 12</w:t>
      </w:r>
    </w:p>
    <w:p>
      <w:pPr>
        <w:keepNext w:val="false"/>
      </w:pPr>
      <w:r>
        <w:rPr>
          <w:b w:val="false"/>
          <w:bCs w:val="false"/>
        </w:rPr>
        <w:t xml:space="preserve">(1) Avizarea tehnică a expertizei judiciare conform art. 11 se realizează exclusiv cu privire la informațiile grafice și/sau textuale preluate din bazele de date digitale și/sau arhivele analogice gestionate de Agenția Națională și oficiile teritoriale.</w:t>
      </w:r>
    </w:p>
    <w:p>
      <w:pPr>
        <w:keepNext w:val="false"/>
      </w:pPr>
      <w:r>
        <w:rPr>
          <w:b w:val="false"/>
          <w:bCs w:val="false"/>
        </w:rPr>
        <w:t xml:space="preserve">(2) Avizarea tehnică a expertizei judiciare conform art. 11 constă în recepția tehnică a planului de amplasament și delimitare specific expertizei judiciare - PAD EJ, ce face obiectul expertizei. Planul de amplasament și delimitare specific expertizei judiciare se întocmește în sistemul de proiecție Stereografic 1970, în conformitate cu normele tehnice în vigoare.</w:t>
      </w:r>
    </w:p>
    <w:p>
      <w:pPr>
        <w:keepNext w:val="false"/>
      </w:pPr>
      <w:r>
        <w:rPr>
          <w:b w:val="false"/>
          <w:bCs w:val="false"/>
        </w:rPr>
        <w:t xml:space="preserve">(3) Cererea privind avizarea/recepția tehnică prevăzută la alin. (2) și informațiile conținute în planul de amplasament și delimitare specific expertizei judiciare se înregistrează online, direct prin intermediul sistemului informatic pus la dispoziție de Agenția Națională, pe flux de recepție tehnică-expertize, și este însoțită de următoarele documente în format digital - fișier .pdf, semnate cu semnătură electronică calificată:</w:t>
      </w:r>
    </w:p>
    <w:p>
      <w:pPr>
        <w:keepNext w:val="false"/>
      </w:pPr>
      <w:r>
        <w:rPr>
          <w:b w:val="false"/>
          <w:bCs w:val="false"/>
        </w:rPr>
        <w:t xml:space="preserve">a) memoriul tehnic;</w:t>
      </w:r>
    </w:p>
    <w:p>
      <w:pPr>
        <w:keepNext w:val="false"/>
      </w:pPr>
      <w:r>
        <w:rPr>
          <w:b w:val="false"/>
          <w:bCs w:val="false"/>
        </w:rPr>
        <w:t xml:space="preserve">b) planul de amplasament și delimitare specific expertizei judiciare, întocmit la o scară convenabilă, cuprinsă între 1:200-1:5000;</w:t>
      </w:r>
    </w:p>
    <w:p>
      <w:pPr>
        <w:keepNext w:val="false"/>
      </w:pPr>
      <w:r>
        <w:rPr>
          <w:b w:val="false"/>
          <w:bCs w:val="false"/>
        </w:rPr>
        <w:t xml:space="preserve">c) înscrisurile din care rezultă numirea expertului și identificarea imobilului/zonei care face obiectul expertizei (adresa sau încheierea instanței de judecată, alte documente).</w:t>
      </w:r>
    </w:p>
    <w:p>
      <w:pPr>
        <w:keepNext w:val="false"/>
      </w:pPr>
      <w:r>
        <w:rPr>
          <w:b w:val="false"/>
          <w:bCs w:val="false"/>
        </w:rPr>
        <w:t xml:space="preserve">(4) Răspunderea pentru corectitudinea întocmirii planului de amplasament și delimitare specific expertizei judiciare cu privire la reprezentarea situației reale de la teren, prin raportare la obiectivele stabilite de instanța de judecată, revine expertului judiciar, acesta având obligația să identifice zona studiată și să execute măsurătorile la fața locului.</w:t>
      </w:r>
    </w:p>
    <w:p>
      <w:pPr>
        <w:keepNext/>
      </w:pPr>
      <w:r>
        <w:rPr>
          <w:b/>
          <w:bCs/>
        </w:rPr>
        <w:t xml:space="preserve">Articolul 13</w:t>
      </w:r>
    </w:p>
    <w:p>
      <w:pPr>
        <w:keepNext w:val="false"/>
      </w:pPr>
      <w:r>
        <w:rPr>
          <w:b w:val="false"/>
          <w:bCs w:val="false"/>
        </w:rPr>
        <w:t xml:space="preserve">(1) Recepția tehnică a planului de amplasament și delimitare specific expertizei judiciare se realizează, fără a se atribui număr cadastral, prin verificarea:</w:t>
      </w:r>
    </w:p>
    <w:p>
      <w:pPr>
        <w:keepNext w:val="false"/>
      </w:pPr>
      <w:r>
        <w:rPr>
          <w:b w:val="false"/>
          <w:bCs w:val="false"/>
        </w:rPr>
        <w:t xml:space="preserve">a) modului de utilizare a informațiilor preluate din sistemul integrat de cadastru și carte funciară și a celorlalte informații furnizate de Agenția Națională sau oficiul teritorial pentru realizarea planului;</w:t>
      </w:r>
    </w:p>
    <w:p>
      <w:pPr>
        <w:keepNext w:val="false"/>
      </w:pPr>
      <w:r>
        <w:rPr>
          <w:b w:val="false"/>
          <w:bCs w:val="false"/>
        </w:rPr>
        <w:t xml:space="preserve">b) existenței suprapunerilor dintre imobilele înregistrate în sistemul integrat de cadastru și carte funciară și cele reprezentate pe PAD, care fac obiectul expertizei, constatarea suprapunerilor neconstituind piedică la avizare;</w:t>
      </w:r>
    </w:p>
    <w:p>
      <w:pPr>
        <w:keepNext w:val="false"/>
      </w:pPr>
      <w:r>
        <w:rPr>
          <w:b w:val="false"/>
          <w:bCs w:val="false"/>
        </w:rPr>
        <w:t xml:space="preserve">c) încadrării acestuia în sistemul național de proiecție Stereografic 1970;</w:t>
      </w:r>
    </w:p>
    <w:p>
      <w:pPr>
        <w:keepNext w:val="false"/>
      </w:pPr>
      <w:r>
        <w:rPr>
          <w:b w:val="false"/>
          <w:bCs w:val="false"/>
        </w:rPr>
        <w:t xml:space="preserve">d) determinării suprafeței imobilului/zonei care face obiectul expertizei.</w:t>
      </w:r>
    </w:p>
    <w:p>
      <w:pPr>
        <w:keepNext w:val="false"/>
      </w:pPr>
      <w:r>
        <w:rPr>
          <w:b w:val="false"/>
          <w:bCs w:val="false"/>
        </w:rPr>
        <w:t xml:space="preserve">(2) Recepția tehnică efectuată potrivit alin. (1) se finalizează cu emiterea de către oficiul teritorial a:</w:t>
      </w:r>
    </w:p>
    <w:p>
      <w:pPr>
        <w:keepNext w:val="false"/>
      </w:pPr>
      <w:r>
        <w:rPr>
          <w:b w:val="false"/>
          <w:bCs w:val="false"/>
        </w:rPr>
        <w:t xml:space="preserve">a) procesului-verbal de recepție;</w:t>
      </w:r>
    </w:p>
    <w:p>
      <w:pPr>
        <w:keepNext w:val="false"/>
      </w:pPr>
      <w:r>
        <w:rPr>
          <w:b w:val="false"/>
          <w:bCs w:val="false"/>
        </w:rPr>
        <w:t xml:space="preserve">b) notei de completare, în cazul în care informațiile prevăzute la art. 12 alin. (3) sunt incomplete sau lipsesc. Dacă după emiterea notei de completare nu se prezintă documentele sau informațiile solicitate ori termenul prevăzut în nota de completare este depășit, lucrarea este declarată respinsă.</w:t>
      </w:r>
    </w:p>
    <w:p>
      <w:pPr>
        <w:keepNext w:val="false"/>
      </w:pPr>
      <w:r>
        <w:rPr>
          <w:b w:val="false"/>
          <w:bCs w:val="false"/>
        </w:rPr>
        <w:t xml:space="preserve">(3) Procesul-verbal de recepție cuprinde, dar fără a se limita la acestea, următoarele informații: numărul de înregistrare al cererii în registrul general de intrare, numărul dosarului care face obiectul expertizei judiciare și denumirea instanței pe rolul căreia se află dosarul, numele și prenumele expertului judiciar care a întocmit raportul de expertiză, identificatorul cadastral și/sau de carte funciară al imobilului înregistrat în evidențele de cadastru și carte funciară.</w:t>
      </w:r>
    </w:p>
    <w:p>
      <w:pPr>
        <w:keepNext w:val="false"/>
      </w:pPr>
      <w:r>
        <w:rPr>
          <w:b w:val="false"/>
          <w:bCs w:val="false"/>
        </w:rPr>
        <w:t xml:space="preserve">(4) Procesul-verbal de recepție, emis în condițiile art. 28^1 alin. (5) din Legea cadastrului și a publicității imobiliare nr. 7/1996, republicată, cu modificările și completările ulterioare, și planul de amplasament și delimitare specific expertizei judiciare, recepționat de oficiul teritorial, se comunică exclusiv expertului judiciar, prin intermediul sistemului informatic.</w:t>
      </w:r>
    </w:p>
    <w:p>
      <w:pPr>
        <w:keepNext/>
      </w:pPr>
      <w:r>
        <w:rPr>
          <w:b/>
          <w:bCs/>
        </w:rPr>
        <w:t xml:space="preserve">Articolul 14</w:t>
      </w:r>
    </w:p>
    <w:p>
      <w:pPr>
        <w:keepNext w:val="false"/>
      </w:pPr>
      <w:r>
        <w:rPr>
          <w:b w:val="false"/>
          <w:bCs w:val="false"/>
        </w:rPr>
        <w:t xml:space="preserve">Dispozițiile prezentului regulament se completează, în măsura în care nu contravin, cu cele ale Regulamentului de recepție și înscriere în evidențele de cadastru și carte funciară, aprobat prin Ordinul directorului general al Agenției Naționale de Cadastru și Publicitate Imobiliară nr. 600/2023, cu modificările și completările ulterioare.</w:t>
      </w:r>
    </w:p>
    <w:p>
      <w:pPr>
        <w:keepNext/>
      </w:pPr>
      <w:r>
        <w:rPr>
          <w:b/>
          <w:bCs/>
        </w:rPr>
        <w:t xml:space="preserve">Articolul II</w:t>
      </w:r>
    </w:p>
    <w:p>
      <w:pPr>
        <w:keepNext w:val="false"/>
      </w:pPr>
      <w:r>
        <w:rPr>
          <w:b w:val="false"/>
          <w:bCs w:val="false"/>
        </w:rPr>
        <w:t xml:space="preserve">Prezentul ordin se publică în Monitorul Oficial al României, Partea I.</w:t>
      </w:r>
    </w:p>
    <w:p>
      <w:pPr>
        <w:keepNext w:val="false"/>
      </w:pPr>
      <w:r>
        <w:rPr>
          <w:b w:val="false"/>
          <w:bCs w:val="false"/>
        </w:rPr>
        <w:t xml:space="preserve">Directorul general al Agenției Naționale de Cadastru și Publicitate Imobiliară,</w:t>
      </w:r>
    </w:p>
    <w:p>
      <w:pPr>
        <w:keepNext w:val="false"/>
      </w:pPr>
      <w:r>
        <w:rPr>
          <w:b w:val="false"/>
          <w:bCs w:val="false"/>
        </w:rPr>
        <w:t xml:space="preserve">Laurențiu-Alexandru Blaga</w:t>
      </w:r>
    </w:p>
    <w:p>
      <w:pPr>
        <w:keepNext w:val="false"/>
      </w:pPr>
      <w:r>
        <w:rPr>
          <w:b w:val="false"/>
          <w:bCs w:val="false"/>
        </w:rPr>
        <w:t xml:space="preserve">București, 22 aprilie 2024.</w:t>
      </w:r>
    </w:p>
    <w:p>
      <w:pPr>
        <w:keepNext w:val="false"/>
      </w:pPr>
      <w:r>
        <w:rPr>
          <w:b w:val="false"/>
          <w:bCs w:val="false"/>
        </w:rPr>
        <w:t xml:space="preserve">Nr. 423.</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Ordinul ANCPI nr. 423/2024</dc:title>
  <dc:creator>CadLogic</dc:creator>
  <dc:description>Sursa oficială: https://legislatie.just.ro/Public/DetaliiDocument/282635</dc:description>
  <cp:lastModifiedBy>Un-named</cp:lastModifiedBy>
  <cp:revision>1</cp:revision>
  <dcterms:created xsi:type="dcterms:W3CDTF">2026-10-31T03:00:42.035Z</dcterms:created>
  <dcterms:modified xsi:type="dcterms:W3CDTF">2026-10-31T03:00:42.035Z</dcterms:modified>
</cp:coreProperties>
</file>

<file path=docProps/custom.xml><?xml version="1.0" encoding="utf-8"?>
<Properties xmlns="http://schemas.openxmlformats.org/officeDocument/2006/custom-properties" xmlns:vt="http://schemas.openxmlformats.org/officeDocument/2006/docPropsVTypes"/>
</file>