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1.190/C din 13 iulie 2023</w:t>
      </w:r>
    </w:p>
    <w:p>
      <w:pPr>
        <w:pStyle w:val="Title"/>
        <w:keepNext/>
      </w:pPr>
      <w:r>
        <w:rPr>
          <w:b/>
          <w:bCs/>
        </w:rPr>
        <w:t xml:space="preserve">privind aprobarea Nomenclatorului specializărilor expertizei tehnice judiciare</w:t>
      </w:r>
    </w:p>
    <w:p>
      <w:pPr>
        <w:keepNext w:val="false"/>
      </w:pPr>
      <w:r>
        <w:rPr>
          <w:b w:val="false"/>
          <w:bCs w:val="false"/>
        </w:rPr>
        <w:t xml:space="preserve">EMITENT</w:t>
      </w:r>
    </w:p>
    <w:p>
      <w:pPr>
        <w:keepNext w:val="false"/>
      </w:pPr>
      <w:r>
        <w:rPr>
          <w:b w:val="false"/>
          <w:bCs w:val="false"/>
        </w:rPr>
        <w:t xml:space="preserve">MINISTERUL JUSTIȚIEI</w:t>
      </w:r>
    </w:p>
    <w:p>
      <w:pPr>
        <w:keepNext w:val="false"/>
      </w:pPr>
      <w:r>
        <w:rPr>
          <w:b w:val="false"/>
          <w:bCs w:val="false"/>
        </w:rPr>
        <w:t xml:space="preserve">Publicat în</w:t>
      </w:r>
    </w:p>
    <w:p>
      <w:pPr>
        <w:keepNext w:val="false"/>
      </w:pPr>
      <w:r>
        <w:rPr>
          <w:b w:val="false"/>
          <w:bCs w:val="false"/>
        </w:rPr>
        <w:t xml:space="preserve">MONITORUL OFICIAL nr. 662 din 19 iulie 2023</w:t>
      </w:r>
    </w:p>
    <w:p>
      <w:pPr>
        <w:keepNext w:val="false"/>
      </w:pPr>
      <w:r>
        <w:rPr>
          <w:b w:val="false"/>
          <w:bCs w:val="false"/>
        </w:rPr>
        <w:t xml:space="preserve">Având în vedere Contractul de finanțare nr. 388 din 24.07.2019 privind implementarea proiectului „Ghidul specializărilor expertizei tehnice judiciare“ (cod SIPOCA 639), finanțat din Fondul Social European, semnat la data de 24 iulie 2019, între Ministerul Justiției și Ministerul Dezvoltării Regionale și Administrației Publice (actualmente Ministerul Dezvoltării, Lucrărilor Publice și Administrației), în calitate de autoritate de management pentru Programul operațional „Capacitate administrativă“ 2014-2020, derulat de Ministerul Justiției, în calitate de beneficiar (lider de proiect), în parteneriat cu Parchetul de pe lângă Înalta Curte de Casație și Justiție și Tribunalul București,</w:t>
      </w:r>
    </w:p>
    <w:p>
      <w:pPr>
        <w:keepNext w:val="false"/>
      </w:pPr>
      <w:r>
        <w:rPr>
          <w:b w:val="false"/>
          <w:bCs w:val="false"/>
        </w:rPr>
        <w:t xml:space="preserve">văzând Ordinul ministrului justiției nr. 199/C/2010 pentru aprobarea Nomenclatorului specializărilor expertizei tehnice judiciare, cu modificările ulterioare,</w:t>
      </w:r>
    </w:p>
    <w:p>
      <w:pPr>
        <w:keepNext w:val="false"/>
      </w:pPr>
      <w:r>
        <w:rPr>
          <w:b w:val="false"/>
          <w:bCs w:val="false"/>
        </w:rPr>
        <w:t xml:space="preserve">în conformitate cu dispozițiile art. 14 alin. (2) din Ordonanța Guvernului nr. 2/2000 privind organizarea activității de expertiză tehnică judiciară și extrajudiciară, aprobată prin Legea nr. 156/2002, cu modificările și completările ulterioare,</w:t>
      </w:r>
    </w:p>
    <w:p>
      <w:pPr>
        <w:keepNext w:val="false"/>
      </w:pPr>
      <w:r>
        <w:rPr>
          <w:b w:val="false"/>
          <w:bCs w:val="false"/>
        </w:rPr>
        <w:t xml:space="preserve">în temeiul dispozițiilor art. 13 din Hotărârea Guvernului nr. 652/2009 privind organizarea și funcționarea Ministerului Justiției, cu modificările și completările ulterioare,</w:t>
      </w:r>
    </w:p>
    <w:p>
      <w:pPr>
        <w:keepNext w:val="false"/>
      </w:pPr>
      <w:r>
        <w:rPr>
          <w:b w:val="false"/>
          <w:bCs w:val="false"/>
        </w:rPr>
        <w:t xml:space="preserve">ministrul justiției emite următorul ordin:</w:t>
      </w:r>
    </w:p>
    <w:p>
      <w:pPr>
        <w:keepNext/>
      </w:pPr>
      <w:r>
        <w:rPr>
          <w:b/>
          <w:bCs/>
        </w:rPr>
        <w:t xml:space="preserve">Articolul 1</w:t>
      </w:r>
    </w:p>
    <w:p>
      <w:pPr>
        <w:keepNext w:val="false"/>
      </w:pPr>
      <w:r>
        <w:rPr>
          <w:b w:val="false"/>
          <w:bCs w:val="false"/>
        </w:rPr>
        <w:t xml:space="preserve">Se aprobă Nomenclatorul specializărilor expertizei tehnice judiciare, prevăzut în anexa care face parte integrantă din prezentul ordin.</w:t>
      </w:r>
    </w:p>
    <w:p>
      <w:pPr>
        <w:keepNext/>
      </w:pPr>
      <w:r>
        <w:rPr>
          <w:b/>
          <w:bCs/>
        </w:rPr>
        <w:t xml:space="preserve">Articolul 2</w:t>
      </w:r>
    </w:p>
    <w:p>
      <w:pPr>
        <w:keepNext w:val="false"/>
      </w:pPr>
      <w:r>
        <w:rPr>
          <w:b w:val="false"/>
          <w:bCs w:val="false"/>
        </w:rPr>
        <w:t xml:space="preserve">Începând cu data intrării în vigoare a prezentului ordin, experții tehnici judiciari și specialiștii autorizați în specializările prevăzute în Nomenclatorul specializărilor expertizei tehnice judiciare, aprobat prin Ordinul ministrului justiției nr. 199/C/2010, cu modificările ulterioare, se autorizează de drept în specializările prevăzute în anexa la prezentul ordin, după cum urmează:</w:t>
      </w:r>
    </w:p>
    <w:p>
      <w:pPr>
        <w:keepNext w:val="false"/>
      </w:pPr>
      <w:r>
        <w:rPr>
          <w:b w:val="false"/>
          <w:bCs w:val="false"/>
        </w:rPr>
        <w:t xml:space="preserve">1.</w:t>
      </w:r>
    </w:p>
    <w:p>
      <w:pPr>
        <w:keepNext w:val="false"/>
      </w:pPr>
      <w:r>
        <w:rPr>
          <w:b w:val="false"/>
          <w:bCs w:val="false"/>
        </w:rPr>
        <w:t xml:space="preserve">experții tehnici judiciari și specialiștii autorizați în specializările „Agronomie“ și/sau „Științele solului“ din Nomenclatorul specializărilor expertizei tehnice judiciare, aprobat prin Ordinul ministrului justiției nr. 199/C/2010, cu modificările ulterioare, se autorizează de drept în specializarea „Agricultură“, ca urmare a comasării specializărilor „Agronomie“ și „Științele solului“ cu specializarea „Agricultură“, sub denumirea „Agricultură“;</w:t>
      </w:r>
    </w:p>
    <w:p>
      <w:pPr>
        <w:keepNext w:val="false"/>
      </w:pPr>
      <w:r>
        <w:rPr>
          <w:b w:val="false"/>
          <w:bCs w:val="false"/>
        </w:rPr>
        <w:t xml:space="preserve">2.</w:t>
      </w:r>
    </w:p>
    <w:p>
      <w:pPr>
        <w:keepNext w:val="false"/>
      </w:pPr>
      <w:r>
        <w:rPr>
          <w:b w:val="false"/>
          <w:bCs w:val="false"/>
        </w:rPr>
        <w:t xml:space="preserve">experții tehnici judiciari și specialiștii autorizați în specializarea „Artă, patrimoniu național, filatelie, cărți“ din Nomenclatorul specializărilor expertizei tehnice judiciare, aprobat prin Ordinul ministrului justiției nr. 199/C/2010, cu modificările ulterioare, se autorizează de drept în subspecializările „Patrimoniu cultural imobil/monumente istorice“, „Patrimoniu cultural mobil“ și „Patrimoniu cultural imaterial“, ca urmare a reorganizării specializării „Artă, patrimoniu național, filatelie, cărți“ prin comasare cu specializarea „Numismatică“, sub denumirea „Patrimoniu cultural și natural“, și divizare în următoarele patru subspecializări: „Patrimoniu cultural imobil/monumente istorice“, „Patrimoniu cultural mobil“, „Patrimoniu cultural imaterial“ și „Patrimoniu natural“;</w:t>
      </w:r>
    </w:p>
    <w:p>
      <w:pPr>
        <w:keepNext w:val="false"/>
      </w:pPr>
      <w:r>
        <w:rPr>
          <w:b w:val="false"/>
          <w:bCs w:val="false"/>
        </w:rPr>
        <w:t xml:space="preserve">3.</w:t>
      </w:r>
    </w:p>
    <w:p>
      <w:pPr>
        <w:keepNext w:val="false"/>
      </w:pPr>
      <w:r>
        <w:rPr>
          <w:b w:val="false"/>
          <w:bCs w:val="false"/>
        </w:rPr>
        <w:t xml:space="preserve">experții tehnici judiciari și specialiștii autorizați în specializarea „Căi ferate, drumuri și poduri“ din Nomenclatorul specializărilor expertizei tehnice judiciare, aprobat prin Ordinul ministrului justiției nr. 199/C/2010, cu modificările ulterioare, se autorizează de drept în subspecializările „Căi ferate“, „Drumuri“ și „Poduri“, ca urmare a reorganizării specializării „Căi ferate, drumuri și poduri“ prin divizarea în următoarele trei subspecializări: „Căi ferate“, „Drumuri“ și „Poduri“;</w:t>
      </w:r>
    </w:p>
    <w:p>
      <w:pPr>
        <w:keepNext w:val="false"/>
      </w:pPr>
      <w:r>
        <w:rPr>
          <w:b w:val="false"/>
          <w:bCs w:val="false"/>
        </w:rPr>
        <w:t xml:space="preserve">4.</w:t>
      </w:r>
    </w:p>
    <w:p>
      <w:pPr>
        <w:keepNext w:val="false"/>
      </w:pPr>
      <w:r>
        <w:rPr>
          <w:b w:val="false"/>
          <w:bCs w:val="false"/>
        </w:rPr>
        <w:t xml:space="preserve">experții tehnici judiciari și specialiștii autorizați în specializarea „Construcții și exploatare nave maritime“ din Nomenclatorul specializărilor expertizei tehnice judiciare, aprobat prin Ordinul ministrului justiției nr. 199/C/2010, cu modificările ulterioare, se autorizează de drept în specializarea „Construcții și exploatare nave maritime și fluviale“, ca urmare a redenumirii specializării „Construcții și exploatare nave maritime“ în „Construcții și exploatare nave maritime și fluviale“;</w:t>
      </w:r>
    </w:p>
    <w:p>
      <w:pPr>
        <w:keepNext w:val="false"/>
      </w:pPr>
      <w:r>
        <w:rPr>
          <w:b w:val="false"/>
          <w:bCs w:val="false"/>
        </w:rPr>
        <w:t xml:space="preserve">5.</w:t>
      </w:r>
    </w:p>
    <w:p>
      <w:pPr>
        <w:keepNext w:val="false"/>
      </w:pPr>
      <w:r>
        <w:rPr>
          <w:b w:val="false"/>
          <w:bCs w:val="false"/>
        </w:rPr>
        <w:t xml:space="preserve">experții tehnici judiciari și specialiștii autorizați în specializările „Echipamente pentru procese industriale“ și/sau „Mașini unelte și sisteme de producție“ din Nomenclatorul specializărilor expertizei tehnice judiciare, aprobat prin Ordinul ministrului justiției nr. 199/C/2010, cu modificările ulterioare, se autorizează de drept în specializarea „Echipamente pentru procese industriale“, ca urmare a comasării specializărilor „Echipamente pentru procese industriale“ și „Mașini unelte și sisteme de producție“ sub denumirea „Echipamente pentru procese industriale“;</w:t>
      </w:r>
    </w:p>
    <w:p>
      <w:pPr>
        <w:keepNext w:val="false"/>
      </w:pPr>
      <w:r>
        <w:rPr>
          <w:b w:val="false"/>
          <w:bCs w:val="false"/>
        </w:rPr>
        <w:t xml:space="preserve">6.</w:t>
      </w:r>
    </w:p>
    <w:p>
      <w:pPr>
        <w:keepNext w:val="false"/>
      </w:pPr>
      <w:r>
        <w:rPr>
          <w:b w:val="false"/>
          <w:bCs w:val="false"/>
        </w:rPr>
        <w:t xml:space="preserve">experții tehnici judiciari autorizați în specializarea „Energetică“ din Nomenclatorul specializărilor expertizei tehnice judiciare, aprobat prin Ordinul ministrului justiției nr. 199/C/2010, cu modificările ulterioare, se autorizează de drept în subspecializările „Electroenergetică“, „Energetică și tehnologii nucleare“, „Energetică industrială“, „Hidroenergetică“ și „Termoenergetică“, ca urmare a reorganizării specializărilor „Electroenergetică“, „Energetică și tehnologii nucleare“, „Energetică industrială“, „Hidroenergetică“ și „Termoenergetică“ drept subspecializări ale specializării „Energetică“;</w:t>
      </w:r>
    </w:p>
    <w:p>
      <w:pPr>
        <w:keepNext w:val="false"/>
      </w:pPr>
      <w:r>
        <w:rPr>
          <w:b w:val="false"/>
          <w:bCs w:val="false"/>
        </w:rPr>
        <w:t xml:space="preserve">7.</w:t>
      </w:r>
    </w:p>
    <w:p>
      <w:pPr>
        <w:keepNext w:val="false"/>
      </w:pPr>
      <w:r>
        <w:rPr>
          <w:b w:val="false"/>
          <w:bCs w:val="false"/>
        </w:rPr>
        <w:t xml:space="preserve">experții tehnici judiciari și specialiștii autorizați în specializarea „Electronică“ din Nomenclatorul specializărilor expertizei tehnice judiciare, aprobat prin Ordinul ministrului justiției nr. 199/C/2010, cu modificările ulterioare, se autorizează de drept în specializarea „Electronică aplicată“, ca urmare a redenumirii specializării „Electronică“ în „Electronică aplicată“;</w:t>
      </w:r>
    </w:p>
    <w:p>
      <w:pPr>
        <w:keepNext w:val="false"/>
      </w:pPr>
      <w:r>
        <w:rPr>
          <w:b w:val="false"/>
          <w:bCs w:val="false"/>
        </w:rPr>
        <w:t xml:space="preserve">8.</w:t>
      </w:r>
    </w:p>
    <w:p>
      <w:pPr>
        <w:keepNext w:val="false"/>
      </w:pPr>
      <w:r>
        <w:rPr>
          <w:b w:val="false"/>
          <w:bCs w:val="false"/>
        </w:rPr>
        <w:t xml:space="preserve">experții tehnici judiciari și specialiștii autorizați în specializarea „Evaluarea proprietății imobiliare“ din Nomenclatorul specializărilor expertizei tehnice judiciare, aprobat prin Ordinul ministrului justiției nr. 199/C/2010, cu modificările ulterioare, se autorizează de drept în specializarea „Evaluarea bunurilor imobile“, ca urmare a redenumirii specializării „Evaluarea proprietății imobiliare“ în „Evaluarea bunurilor imobile“;</w:t>
      </w:r>
    </w:p>
    <w:p>
      <w:pPr>
        <w:keepNext w:val="false"/>
      </w:pPr>
      <w:r>
        <w:rPr>
          <w:b w:val="false"/>
          <w:bCs w:val="false"/>
        </w:rPr>
        <w:t xml:space="preserve">9.</w:t>
      </w:r>
    </w:p>
    <w:p>
      <w:pPr>
        <w:keepNext w:val="false"/>
      </w:pPr>
      <w:r>
        <w:rPr>
          <w:b w:val="false"/>
          <w:bCs w:val="false"/>
        </w:rPr>
        <w:t xml:space="preserve">experții tehnici judiciari și specialiștii autorizați în specializarea „Evaluări bunuri mobile economie“ din Nomenclatorul specializărilor expertizei tehnice judiciare, aprobat prin Ordinul ministrului justiției nr. 199/C/2010, cu modificările ulterioare, se autorizează de drept în specializarea „Evaluarea bunurilor mobile“, ca urmare a redenumirii specializării „Evaluări bunuri mobile economie“ în „Evaluarea bunurilor mobile“;</w:t>
      </w:r>
    </w:p>
    <w:p>
      <w:pPr>
        <w:keepNext w:val="false"/>
      </w:pPr>
      <w:r>
        <w:rPr>
          <w:b w:val="false"/>
          <w:bCs w:val="false"/>
        </w:rPr>
        <w:t xml:space="preserve">10.</w:t>
      </w:r>
    </w:p>
    <w:p>
      <w:pPr>
        <w:keepNext w:val="false"/>
      </w:pPr>
      <w:r>
        <w:rPr>
          <w:b w:val="false"/>
          <w:bCs w:val="false"/>
        </w:rPr>
        <w:t xml:space="preserve">experții tehnici judiciari și specialiștii autorizați în specializarea „Exploatare căi ferate, locații și material rulant“ din Nomenclatorul specializărilor expertizei tehnice judiciare, aprobat prin Ordinul ministrului justiției nr. 199/C/2010, cu modificările ulterioare, se autorizează de drept în subspecializările „Exploatare căi ferate și locații“ și „Vehicule pentru transportul feroviar“, ca urmare a comasării specializărilor „Exploatare căi ferate, locații și material rulant“ și „Vehicule pentru transportul feroviar“ sub denumirea „Exploatare căi ferate, locații și vehicule pentru transportul feroviar“, care se divizează în următoarele două subspecializări: „Exploatare căi ferate și locații“ și „Vehicule pentru transportul feroviar“;</w:t>
      </w:r>
    </w:p>
    <w:p>
      <w:pPr>
        <w:keepNext w:val="false"/>
      </w:pPr>
      <w:r>
        <w:rPr>
          <w:b w:val="false"/>
          <w:bCs w:val="false"/>
        </w:rPr>
        <w:t xml:space="preserve">11.</w:t>
      </w:r>
    </w:p>
    <w:p>
      <w:pPr>
        <w:keepNext w:val="false"/>
      </w:pPr>
      <w:r>
        <w:rPr>
          <w:b w:val="false"/>
          <w:bCs w:val="false"/>
        </w:rPr>
        <w:t xml:space="preserve">experții tehnici judiciari și specialiștii autorizați în specializarea „Vehicule pentru transportul feroviar“ din Nomenclatorul specializărilor expertizei tehnice judiciare, aprobat prin Ordinul ministrului justiției nr. 199/C/2010, cu modificările ulterioare, se autorizează de drept în subspecializarea „Vehicule pentru transportul feroviar“ din cadrul specializării „Exploatare căi ferate, locații și vehicule pentru transportul feroviar“, ca urmare a comasării specializărilor „Exploatare căi ferate, locații și material rulant“ și „Vehicule pentru transportul feroviar“ sub denumirea „Exploatare căi ferate, locații și vehicule pentru transportul feroviar“, care se divizează în următoarele două subspecializări: „Exploatare căi ferate și locații“ și „Vehicule pentru transportul feroviar“;</w:t>
      </w:r>
    </w:p>
    <w:p>
      <w:pPr>
        <w:keepNext w:val="false"/>
      </w:pPr>
      <w:r>
        <w:rPr>
          <w:b w:val="false"/>
          <w:bCs w:val="false"/>
        </w:rPr>
        <w:t xml:space="preserve">12.</w:t>
      </w:r>
    </w:p>
    <w:p>
      <w:pPr>
        <w:keepNext w:val="false"/>
      </w:pPr>
      <w:r>
        <w:rPr>
          <w:b w:val="false"/>
          <w:bCs w:val="false"/>
        </w:rPr>
        <w:t xml:space="preserve">experții tehnici judiciari și specialiștii autorizați în specializarea „Farmacologie-medicină-stomatologie“ din Nomenclatorul specializărilor expertizei tehnice judiciare, aprobat prin Ordinul ministrului justiției nr. 199/C/2010, cu modificările ulterioare, se autorizează de drept în specializarea/specializările „Farmacie“, „Medicină“ și „Medicină dentară“, conform ramurii de știință în care au fost licențiați la data autorizării ca expert tehnic judiciar, ca urmare a reorganizării specializării „Farmacologie-medicină-stomatologie“ prin divizarea în următoarele trei specializări: „Farmacie“, „Medicină“ și „Medicină dentară“;</w:t>
      </w:r>
    </w:p>
    <w:p>
      <w:pPr>
        <w:keepNext w:val="false"/>
      </w:pPr>
      <w:r>
        <w:rPr>
          <w:b w:val="false"/>
          <w:bCs w:val="false"/>
        </w:rPr>
        <w:t xml:space="preserve">13.</w:t>
      </w:r>
    </w:p>
    <w:p>
      <w:pPr>
        <w:keepNext w:val="false"/>
      </w:pPr>
      <w:r>
        <w:rPr>
          <w:b w:val="false"/>
          <w:bCs w:val="false"/>
        </w:rPr>
        <w:t xml:space="preserve">experților tehnici judiciari și specialiștilor autorizați în specializarea „Fiabilitate aparate electrice și electronice“ din Nomenclatorul specializărilor expertizei tehnice judiciare, aprobat prin Ordinul ministrului justiției nr. 199/C/2010, cu modificările ulterioare, le încetează de drept autorizarea, ca urmare a eliminării specializării „Fiabilitate aparate electrice și electronice“;</w:t>
      </w:r>
    </w:p>
    <w:p>
      <w:pPr>
        <w:keepNext w:val="false"/>
      </w:pPr>
      <w:r>
        <w:rPr>
          <w:b w:val="false"/>
          <w:bCs w:val="false"/>
        </w:rPr>
        <w:t xml:space="preserve">14.</w:t>
      </w:r>
    </w:p>
    <w:p>
      <w:pPr>
        <w:keepNext w:val="false"/>
      </w:pPr>
      <w:r>
        <w:rPr>
          <w:b w:val="false"/>
          <w:bCs w:val="false"/>
        </w:rPr>
        <w:t xml:space="preserve">experții tehnici judiciari și specialiștii autorizați în specializările „Filatură“ și/sau „Industrie textilă și pielărie“ din Nomenclatorul specializărilor expertizei tehnice judiciare, aprobat prin Ordinul ministrului justiției nr. 199/C/2010, cu modificările ulterioare, se autorizează de drept în specializarea „Tehnologia și designul produselor textile și al confecțiilor din piele și înlocuitori“, ca urmare a comasării specializărilor „Filatură“ și „Industrie textilă și pielărie“ sub denumirea „Tehnologia și designul produselor textile și al confecțiilor din piele și înlocuitori“;</w:t>
      </w:r>
    </w:p>
    <w:p>
      <w:pPr>
        <w:keepNext w:val="false"/>
      </w:pPr>
      <w:r>
        <w:rPr>
          <w:b w:val="false"/>
          <w:bCs w:val="false"/>
        </w:rPr>
        <w:t xml:space="preserve">15.</w:t>
      </w:r>
    </w:p>
    <w:p>
      <w:pPr>
        <w:keepNext w:val="false"/>
      </w:pPr>
      <w:r>
        <w:rPr>
          <w:b w:val="false"/>
          <w:bCs w:val="false"/>
        </w:rPr>
        <w:t xml:space="preserve">experții tehnici judiciari și specialiștii autorizați în specializările „Geologia resurselor miniere“ și/sau „Geologia resurselor petroliere“ din Nomenclatorul specializărilor expertizei tehnice judiciare, aprobat prin Ordinul ministrului justiției nr. 199/C/2010, cu modificările ulterioare, se autorizează de drept în specializarea „Inginerie geologică și geofizică“, ca urmare a comasării specializărilor „Geologia resurselor miniere“ și „Geologia resurselor petroliere“ sub denumirea „Inginerie geologică și geofizică“;</w:t>
      </w:r>
    </w:p>
    <w:p>
      <w:pPr>
        <w:keepNext w:val="false"/>
      </w:pPr>
      <w:r>
        <w:rPr>
          <w:b w:val="false"/>
          <w:bCs w:val="false"/>
        </w:rPr>
        <w:t xml:space="preserve">16.</w:t>
      </w:r>
    </w:p>
    <w:p>
      <w:pPr>
        <w:keepNext w:val="false"/>
      </w:pPr>
      <w:r>
        <w:rPr>
          <w:b w:val="false"/>
          <w:bCs w:val="false"/>
        </w:rPr>
        <w:t xml:space="preserve">experții tehnici judiciari și specialiștii autorizați în specializările „Industria alimentară, morărit și panificație“ și/sau „Industria alimentară și frigotehnie“ din Nomenclatorul specializărilor expertizei tehnice judiciare, aprobat prin Ordinul ministrului justiției nr. 199/C/2010, cu modificările ulterioare, se autorizează de drept în specializarea „Ingineria produselor alimentare“, ca urmare a comasării specializărilor „Industria alimentară, morărit și panificație“ și „Industria alimentară și frigotehnie“ sub denumirea „Ingineria produselor alimentare“;</w:t>
      </w:r>
    </w:p>
    <w:p>
      <w:pPr>
        <w:keepNext w:val="false"/>
      </w:pPr>
      <w:r>
        <w:rPr>
          <w:b w:val="false"/>
          <w:bCs w:val="false"/>
        </w:rPr>
        <w:t xml:space="preserve">17.</w:t>
      </w:r>
    </w:p>
    <w:p>
      <w:pPr>
        <w:keepNext w:val="false"/>
      </w:pPr>
      <w:r>
        <w:rPr>
          <w:b w:val="false"/>
          <w:bCs w:val="false"/>
        </w:rPr>
        <w:t xml:space="preserve">experții tehnici judiciari și specialiștii autorizați în specializările „Ingineria sudării“ și/sau „Utilajul și tehnologia sudării“ din Nomenclatorul specializărilor expertizei tehnice judiciare, aprobat prin Ordinul ministrului justiției nr. 199/C/2010, cu modificările ulterioare, se autorizează de drept în specializarea „Ingineria și utilajul sudării“, ca urmare a comasării specializărilor „Ingineria sudării“ și „Utilajul și tehnologia sudării“ sub denumirea „Ingineria și utilajul sudării“;</w:t>
      </w:r>
    </w:p>
    <w:p>
      <w:pPr>
        <w:keepNext w:val="false"/>
      </w:pPr>
      <w:r>
        <w:rPr>
          <w:b w:val="false"/>
          <w:bCs w:val="false"/>
        </w:rPr>
        <w:t xml:space="preserve">18.</w:t>
      </w:r>
    </w:p>
    <w:p>
      <w:pPr>
        <w:keepNext w:val="false"/>
      </w:pPr>
      <w:r>
        <w:rPr>
          <w:b w:val="false"/>
          <w:bCs w:val="false"/>
        </w:rPr>
        <w:t xml:space="preserve">experții tehnici judiciari și specialiștii autorizați în specializarea „Numismatică“ din Nomenclatorul specializărilor expertizei tehnice judiciare, aprobat prin Ordinul ministrului justiției nr. 199/C/2010, cu modificările ulterioare, se autorizează de drept în subspecializarea „Patrimoniu cultural mobil“ din cadrul specializării „Patrimoniu cultural și natural“, ca urmare a comasării specializării „Numismatică“ cu specializarea „Artă, patrimoniu național, filatelie, cărți“ sub denumirea „Patrimoniu cultural și natural“;</w:t>
      </w:r>
    </w:p>
    <w:p>
      <w:pPr>
        <w:keepNext w:val="false"/>
      </w:pPr>
      <w:r>
        <w:rPr>
          <w:b w:val="false"/>
          <w:bCs w:val="false"/>
        </w:rPr>
        <w:t xml:space="preserve">19.</w:t>
      </w:r>
    </w:p>
    <w:p>
      <w:pPr>
        <w:keepNext w:val="false"/>
      </w:pPr>
      <w:r>
        <w:rPr>
          <w:b w:val="false"/>
          <w:bCs w:val="false"/>
        </w:rPr>
        <w:t xml:space="preserve">experții tehnici judiciari și specialiștii autorizați în specializarea „Petrol și gaze“ din Nomenclatorul specializărilor expertizei tehnice judiciare, aprobat prin Ordinul ministrului justiției nr. 199/C/2010, cu modificările ulterioare, se autorizează de drept în subspecializările „Petrol“ și „Gaze“, ca urmare a divizării specializării „Petrol și gaze“ în următoarele două subspecializări: „Petrol“ și „Gaze“;</w:t>
      </w:r>
    </w:p>
    <w:p>
      <w:pPr>
        <w:keepNext w:val="false"/>
      </w:pPr>
      <w:r>
        <w:rPr>
          <w:b w:val="false"/>
          <w:bCs w:val="false"/>
        </w:rPr>
        <w:t xml:space="preserve">20.</w:t>
      </w:r>
    </w:p>
    <w:p>
      <w:pPr>
        <w:keepNext w:val="false"/>
      </w:pPr>
      <w:r>
        <w:rPr>
          <w:b w:val="false"/>
          <w:bCs w:val="false"/>
        </w:rPr>
        <w:t xml:space="preserve">experții tehnici judiciari și specialiștii autorizați în specializarea „Prelucrarea sticlei și ceramicii“ din Nomenclatorul specializărilor expertizei tehnice judiciare, aprobat prin Ordinul ministrului justiției nr. 199/C/2010, cu modificările ulterioare, se autorizează de drept în specializarea „Fabricarea sticlei și ceramicii“, ca urmare a redenumirii specializării „Prelucrarea sticlei și ceramicii“ în „Fabricarea sticlei și ceramicii“;</w:t>
      </w:r>
    </w:p>
    <w:p>
      <w:pPr>
        <w:keepNext w:val="false"/>
      </w:pPr>
      <w:r>
        <w:rPr>
          <w:b w:val="false"/>
          <w:bCs w:val="false"/>
        </w:rPr>
        <w:t xml:space="preserve">21.</w:t>
      </w:r>
    </w:p>
    <w:p>
      <w:pPr>
        <w:keepNext w:val="false"/>
      </w:pPr>
      <w:r>
        <w:rPr>
          <w:b w:val="false"/>
          <w:bCs w:val="false"/>
        </w:rPr>
        <w:t xml:space="preserve">experții tehnici judiciari și specialiștii autorizați în specializarea „Protecția muncii“ din Nomenclatorul specializărilor expertizei tehnice judiciare, aprobat prin Ordinul ministrului justiției nr. 199/C/2010, cu modificările ulterioare, se autorizează de drept în specializarea „Securitate și sănătate în muncă“, ca urmare a redenumirii specializării „Protecția muncii“ în „Securitate și sănătate în muncă“;</w:t>
      </w:r>
    </w:p>
    <w:p>
      <w:pPr>
        <w:keepNext w:val="false"/>
      </w:pPr>
      <w:r>
        <w:rPr>
          <w:b w:val="false"/>
          <w:bCs w:val="false"/>
        </w:rPr>
        <w:t xml:space="preserve">22.</w:t>
      </w:r>
    </w:p>
    <w:p>
      <w:pPr>
        <w:keepNext w:val="false"/>
      </w:pPr>
      <w:r>
        <w:rPr>
          <w:b w:val="false"/>
          <w:bCs w:val="false"/>
        </w:rPr>
        <w:t xml:space="preserve">experții tehnici judiciari și specialiștii autorizați în specializarea „Rezistență și stabilitate pentru construcții civile, industriale, agrozootehnice; energetice; telecomunicații; miniere; edilitare și de gospodărie comunală - cu structură din beton, beton armat, zidărie, lemn“ din Nomenclatorul specializărilor expertizei tehnice judiciare, aprobat prin Ordinul ministrului justiției nr. 199/C/2010, cu modificările ulterioare, se autorizează de drept în specializarea „Rezistență mecanică și stabilitate pentru construcții civile, industriale, agricole, energetice, miniere, pentru telecomunicații și construcții aferente rețelelor edilitare și de gospodărie comunală cu structura de rezistență din beton, beton armat, zidărie, lemn“, ca urmare a redenumirii specializării „Rezistență și stabilitate pentru construcții civile, industriale, agrozootehnice; energetice; telecomunicații; miniere; edilitare și de gospodărie comunală - cu structură din beton, beton armat, zidărie, lemn“ în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23.</w:t>
      </w:r>
    </w:p>
    <w:p>
      <w:pPr>
        <w:keepNext w:val="false"/>
      </w:pPr>
      <w:r>
        <w:rPr>
          <w:b w:val="false"/>
          <w:bCs w:val="false"/>
        </w:rPr>
        <w:t xml:space="preserve">experții tehnici judiciari și specialiștii autorizați în specializarea „Rezistență și stabilitate pentru construcții civile, industriale, agrozootehnice; energetice; telecomunicații; miniere; edilitare și de gospodărie comunală - cu structură de rezistență din metal, lemn“ din Nomenclatorul specializărilor expertizei tehnice judiciare, aprobat prin Ordinul ministrului justiției nr. 199/C/2010, cu modificările ulterioare, se autorizează de drept în specializarea „Rezistență mecanică și stabilitate pentru construcții civile, industriale, agricole, energetice, miniere, pentru telecomunicații și construcții aferente rețelelor edilitare și de gospodărie comunală cu structura de rezistență din metal, lemn și alte materiale compozite“, ca urmare a redenumirii specializării „Rezistență și stabilitate pentru construcții civile, industriale, agrozootehnice; energetice; telecomunicații; miniere; edilitare și de gospodărie comunală - cu structură de rezistență din metal, lemn“ în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24.</w:t>
      </w:r>
    </w:p>
    <w:p>
      <w:pPr>
        <w:keepNext w:val="false"/>
      </w:pPr>
      <w:r>
        <w:rPr>
          <w:b w:val="false"/>
          <w:bCs w:val="false"/>
        </w:rPr>
        <w:t xml:space="preserve">experții tehnici judiciari și specialiștii autorizați în specializarea „Stomatologie“ din Nomenclatorul specializărilor expertizei tehnice judiciare, aprobat prin Ordinul ministrului justiției nr. 199/C/2010, cu modificările ulterioare, se autorizează de drept în specializarea „Medicină dentară“;</w:t>
      </w:r>
    </w:p>
    <w:p>
      <w:pPr>
        <w:keepNext w:val="false"/>
      </w:pPr>
      <w:r>
        <w:rPr>
          <w:b w:val="false"/>
          <w:bCs w:val="false"/>
        </w:rPr>
        <w:t xml:space="preserve">25.</w:t>
      </w:r>
    </w:p>
    <w:p>
      <w:pPr>
        <w:keepNext w:val="false"/>
      </w:pPr>
      <w:r>
        <w:rPr>
          <w:b w:val="false"/>
          <w:bCs w:val="false"/>
        </w:rPr>
        <w:t xml:space="preserve">experții tehnici judiciari autorizați în specializarea „Utilaj tehnologic“ din Nomenclatorul specializărilor expertizei tehnice judiciare, aprobat prin Ordinul ministrului justiției nr. 199/C/2010, cu modificările ulterioare, se autorizează de drept în subspecializările „Utilaje pentru textile și pielărie“, „Utilaje petroliere și petrochimice“, „Utilaje și instalații portuare“ și „Utilaje tehnologice pentru construcții“, ca urmare a reorganizării specializărilor „Utilaje pentru textile și pielărie“, „Utilaje petroliere și petrochimice“, „Utilaje și instalații portuare“ și „Utilaje tehnologice pentru construcții“ drept subspecializări ale specializării „Utilaj tehnologic“.</w:t>
      </w:r>
    </w:p>
    <w:p>
      <w:pPr>
        <w:keepNext/>
      </w:pPr>
      <w:r>
        <w:rPr>
          <w:b/>
          <w:bCs/>
        </w:rPr>
        <w:t xml:space="preserve">Articolul 3</w:t>
      </w:r>
    </w:p>
    <w:p>
      <w:pPr>
        <w:keepNext w:val="false"/>
      </w:pPr>
      <w:r>
        <w:rPr>
          <w:b w:val="false"/>
          <w:bCs w:val="false"/>
        </w:rPr>
        <w:t xml:space="preserve">Experții tehnici judiciari și specialiștii autorizați în alte specializări decât cele care suferă modificări își păstrează calitatea de expert tehnic judiciar ori de specialist, după caz, în specializările în care au fost autorizați.</w:t>
      </w:r>
    </w:p>
    <w:p>
      <w:pPr>
        <w:keepNext/>
      </w:pPr>
      <w:r>
        <w:rPr>
          <w:b/>
          <w:bCs/>
        </w:rPr>
        <w:t xml:space="preserve">Articolul 4</w:t>
      </w:r>
    </w:p>
    <w:p>
      <w:pPr>
        <w:keepNext w:val="false"/>
      </w:pPr>
      <w:r>
        <w:rPr>
          <w:b w:val="false"/>
          <w:bCs w:val="false"/>
        </w:rPr>
        <w:t xml:space="preserve">Prezentul ordin se publică în Monitorul Oficial al României, Partea I, și intră în vigoare în termen de 6 luni de la publicare.</w:t>
      </w:r>
    </w:p>
    <w:p>
      <w:pPr>
        <w:keepNext/>
      </w:pPr>
      <w:r>
        <w:rPr>
          <w:b/>
          <w:bCs/>
        </w:rPr>
        <w:t xml:space="preserve">Articolul 5</w:t>
      </w:r>
    </w:p>
    <w:p>
      <w:pPr>
        <w:keepNext w:val="false"/>
      </w:pPr>
      <w:r>
        <w:rPr>
          <w:b w:val="false"/>
          <w:bCs w:val="false"/>
        </w:rPr>
        <w:t xml:space="preserve">(1) În termen de 2 ani de la intrarea în vigoare a prezentului ordin, compartimentul de specialitate va emite noi autorizații și adeverințe pentru experții tehnici judiciari și specialiștii autorizați în specializările din Nomenclatorul specializărilor expertizei tehnice judiciare, aprobat prin Ordinul ministrului justiției nr. 199/C/2010, cu modificările ulterioare, care sunt modificate ori introduse potrivit prezentului ordin.</w:t>
      </w:r>
    </w:p>
    <w:p>
      <w:pPr>
        <w:keepNext w:val="false"/>
      </w:pPr>
      <w:r>
        <w:rPr>
          <w:b w:val="false"/>
          <w:bCs w:val="false"/>
        </w:rPr>
        <w:t xml:space="preserve">(2) Autorizațiile și adeverințele emise pentru experții tehnici judiciari și specialiștii autorizați în specializările din Nomenclatorul specializărilor expertizei tehnice judiciare, aprobat prin Ordinul ministrului justiției nr. 199/C/2010, cu modificările ulterioare, care sunt modificate potrivit prezentului ordin sunt și rămân valabile până la emiterea noilor autorizații și adeverințe și fac dovada calității de expert tehnic judiciar, respectiv de specialist în specializarea respectivă.</w:t>
      </w:r>
    </w:p>
    <w:p>
      <w:pPr>
        <w:keepNext w:val="false"/>
      </w:pPr>
      <w:r>
        <w:rPr>
          <w:b w:val="false"/>
          <w:bCs w:val="false"/>
        </w:rPr>
        <w:t xml:space="preserve">(3) Autorizațiile și adeverințele emise pentru experții tehnici judiciari și specialiștii autorizați în specializările din Nomenclatorul specializărilor expertizei tehnice judiciare, aprobat prin Ordinul ministrului justiției nr. 199/C/2010, cu modificările ulterioare, care nu suferă modificări potrivit prezentului ordin sunt și rămân valabile.</w:t>
      </w:r>
    </w:p>
    <w:p>
      <w:pPr>
        <w:keepNext/>
      </w:pPr>
      <w:r>
        <w:rPr>
          <w:b/>
          <w:bCs/>
        </w:rPr>
        <w:t xml:space="preserve">Articolul 6</w:t>
      </w:r>
    </w:p>
    <w:p>
      <w:pPr>
        <w:keepNext w:val="false"/>
      </w:pPr>
      <w:r>
        <w:rPr>
          <w:b w:val="false"/>
          <w:bCs w:val="false"/>
        </w:rPr>
        <w:t xml:space="preserve">La data intrării în vigoare a prezentului ordin se abrogă Ordinul ministrului justiției nr. 199/C/2010 pentru aprobarea Nomenclatorului specializărilor expertizei tehnice judiciare, publicat în Monitorul Oficial al României, Partea I, nr. 78 din 4 februarie 2010, cu modificările ulterioare.</w:t>
      </w:r>
    </w:p>
    <w:p>
      <w:pPr>
        <w:keepNext/>
      </w:pPr>
      <w:r>
        <w:rPr>
          <w:b/>
          <w:bCs/>
        </w:rPr>
        <w:t xml:space="preserve">Articolul 7</w:t>
      </w:r>
    </w:p>
    <w:p>
      <w:pPr>
        <w:keepNext w:val="false"/>
      </w:pPr>
      <w:r>
        <w:rPr>
          <w:b w:val="false"/>
          <w:bCs w:val="false"/>
        </w:rPr>
        <w:t xml:space="preserve">Serviciul profesii juridice conexe va duce la îndeplinire dispozițiile prezentului ordin.</w:t>
      </w:r>
    </w:p>
    <w:p>
      <w:pPr>
        <w:keepNext w:val="false"/>
      </w:pPr>
      <w:r>
        <w:rPr>
          <w:b w:val="false"/>
          <w:bCs w:val="false"/>
        </w:rPr>
        <w:t xml:space="preserve">p. Ministrul justiției,</w:t>
      </w:r>
    </w:p>
    <w:p>
      <w:pPr>
        <w:keepNext w:val="false"/>
      </w:pPr>
      <w:r>
        <w:rPr>
          <w:b w:val="false"/>
          <w:bCs w:val="false"/>
        </w:rPr>
        <w:t xml:space="preserve">George Cătălin Șerban,</w:t>
      </w:r>
    </w:p>
    <w:p>
      <w:pPr>
        <w:keepNext w:val="false"/>
      </w:pPr>
      <w:r>
        <w:rPr>
          <w:b w:val="false"/>
          <w:bCs w:val="false"/>
        </w:rPr>
        <w:t xml:space="preserve">secretar de stat</w:t>
      </w:r>
    </w:p>
    <w:p>
      <w:pPr>
        <w:keepNext w:val="false"/>
      </w:pPr>
      <w:r>
        <w:rPr>
          <w:b w:val="false"/>
          <w:bCs w:val="false"/>
        </w:rPr>
        <w:t xml:space="preserve">București, 13 iulie 2023.</w:t>
      </w:r>
    </w:p>
    <w:p>
      <w:pPr>
        <w:keepNext w:val="false"/>
      </w:pPr>
      <w:r>
        <w:rPr>
          <w:b w:val="false"/>
          <w:bCs w:val="false"/>
        </w:rPr>
        <w:t xml:space="preserve">Nr. 1.190/C.</w:t>
      </w:r>
    </w:p>
    <w:p>
      <w:pPr>
        <w:keepNext w:val="false"/>
      </w:pPr>
      <w:r>
        <w:rPr>
          <w:b w:val="false"/>
          <w:bCs w:val="false"/>
        </w:rPr>
        <w:t xml:space="preserve">ANEXĂ</w:t>
      </w:r>
    </w:p>
    <w:p>
      <w:pPr>
        <w:keepNext w:val="false"/>
      </w:pPr>
      <w:r>
        <w:rPr>
          <w:b w:val="false"/>
          <w:bCs w:val="false"/>
        </w:rPr>
        <w:t xml:space="preserve">NOMENCLATORUL</w:t>
      </w:r>
    </w:p>
    <w:p>
      <w:pPr>
        <w:keepNext w:val="false"/>
      </w:pPr>
      <w:r>
        <w:rPr>
          <w:b w:val="false"/>
          <w:bCs w:val="false"/>
        </w:rPr>
        <w:t xml:space="preserve">specializărilor expertizei tehnice judiciare</w:t>
      </w:r>
    </w:p>
    <w:p>
      <w:pPr>
        <w:keepNext w:val="false"/>
      </w:pPr>
      <w:r>
        <w:rPr>
          <w:b w:val="false"/>
          <w:bCs w:val="false"/>
        </w:rPr>
        <w:t xml:space="preserve">Domeniul de știință</w:t>
      </w:r>
    </w:p>
    <w:p>
      <w:pPr>
        <w:keepNext w:val="false"/>
      </w:pPr>
      <w:r>
        <w:rPr>
          <w:b w:val="false"/>
          <w:bCs w:val="false"/>
        </w:rPr>
        <w:t xml:space="preserve">Ramura de știință</w:t>
      </w:r>
    </w:p>
    <w:p>
      <w:pPr>
        <w:keepNext w:val="false"/>
      </w:pPr>
      <w:r>
        <w:rPr>
          <w:b w:val="false"/>
          <w:bCs w:val="false"/>
        </w:rPr>
        <w:t xml:space="preserve">Nr. crt.</w:t>
      </w:r>
    </w:p>
    <w:p>
      <w:pPr>
        <w:keepNext w:val="false"/>
      </w:pPr>
      <w:r>
        <w:rPr>
          <w:b w:val="false"/>
          <w:bCs w:val="false"/>
        </w:rPr>
        <w:t xml:space="preserve">Specializarea</w:t>
      </w:r>
    </w:p>
    <w:p>
      <w:pPr>
        <w:keepNext w:val="false"/>
      </w:pPr>
      <w:r>
        <w:rPr>
          <w:b w:val="false"/>
          <w:bCs w:val="false"/>
        </w:rPr>
        <w:t xml:space="preserve">Subspecializarea</w:t>
      </w:r>
    </w:p>
    <w:p>
      <w:pPr>
        <w:keepNext w:val="false"/>
      </w:pPr>
      <w:r>
        <w:rPr>
          <w:b w:val="false"/>
          <w:bCs w:val="false"/>
        </w:rPr>
        <w:t xml:space="preserve">Științe inginerești</w:t>
      </w:r>
    </w:p>
    <w:p>
      <w:pPr>
        <w:keepNext w:val="false"/>
      </w:pPr>
      <w:r>
        <w:rPr>
          <w:b w:val="false"/>
          <w:bCs w:val="false"/>
        </w:rPr>
        <w:t xml:space="preserve">Inginerie civilă</w:t>
      </w:r>
    </w:p>
    <w:p>
      <w:pPr>
        <w:keepNext w:val="false"/>
      </w:pPr>
      <w:r>
        <w:rPr>
          <w:b w:val="false"/>
          <w:bCs w:val="false"/>
        </w:rPr>
        <w:t xml:space="preserve">1</w:t>
      </w:r>
    </w:p>
    <w:p>
      <w:pPr>
        <w:keepNext w:val="false"/>
      </w:pPr>
      <w:r>
        <w:rPr>
          <w:b w:val="false"/>
          <w:bCs w:val="false"/>
        </w:rPr>
        <w:t xml:space="preserve">Amenajări și construcții hidrotehnice</w:t>
      </w:r>
    </w:p>
    <w:p>
      <w:pPr>
        <w:keepNext w:val="false"/>
      </w:pPr>
      <w:r>
        <w:rPr>
          <w:b w:val="false"/>
          <w:bCs w:val="false"/>
        </w:rPr>
        <w:t xml:space="preserve">2</w:t>
      </w:r>
    </w:p>
    <w:p>
      <w:pPr>
        <w:keepNext w:val="false"/>
      </w:pPr>
      <w:r>
        <w:rPr>
          <w:b w:val="false"/>
          <w:bCs w:val="false"/>
        </w:rPr>
        <w:t xml:space="preserve">Căi ferate, drumuri și poduri</w:t>
      </w:r>
    </w:p>
    <w:p>
      <w:pPr>
        <w:keepNext w:val="false"/>
      </w:pPr>
      <w:r>
        <w:rPr>
          <w:b w:val="false"/>
          <w:bCs w:val="false"/>
        </w:rPr>
        <w:t xml:space="preserve">Căi ferate</w:t>
      </w:r>
    </w:p>
    <w:p>
      <w:pPr>
        <w:keepNext w:val="false"/>
      </w:pPr>
      <w:r>
        <w:rPr>
          <w:b w:val="false"/>
          <w:bCs w:val="false"/>
        </w:rPr>
        <w:t xml:space="preserve">Drumuri</w:t>
      </w:r>
    </w:p>
    <w:p>
      <w:pPr>
        <w:keepNext w:val="false"/>
      </w:pPr>
      <w:r>
        <w:rPr>
          <w:b w:val="false"/>
          <w:bCs w:val="false"/>
        </w:rPr>
        <w:t xml:space="preserve">Poduri</w:t>
      </w:r>
    </w:p>
    <w:p>
      <w:pPr>
        <w:keepNext w:val="false"/>
      </w:pPr>
      <w:r>
        <w:rPr>
          <w:b w:val="false"/>
          <w:bCs w:val="false"/>
        </w:rPr>
        <w:t xml:space="preserve">3</w:t>
      </w:r>
    </w:p>
    <w:p>
      <w:pPr>
        <w:keepNext w:val="false"/>
      </w:pPr>
      <w:r>
        <w:rPr>
          <w:b w:val="false"/>
          <w:bCs w:val="false"/>
        </w:rPr>
        <w:t xml:space="preserve">Construcții civile, industriale și agricole</w:t>
      </w:r>
    </w:p>
    <w:p>
      <w:pPr>
        <w:keepNext w:val="false"/>
      </w:pPr>
      <w:r>
        <w:rPr>
          <w:b w:val="false"/>
          <w:bCs w:val="false"/>
        </w:rPr>
        <w:t xml:space="preserve">4</w:t>
      </w:r>
    </w:p>
    <w:p>
      <w:pPr>
        <w:keepNext w:val="false"/>
      </w:pPr>
      <w:r>
        <w:rPr>
          <w:b w:val="false"/>
          <w:bCs w:val="false"/>
        </w:rPr>
        <w:t xml:space="preserve">Construcții miniere</w:t>
      </w:r>
    </w:p>
    <w:p>
      <w:pPr>
        <w:keepNext w:val="false"/>
      </w:pPr>
      <w:r>
        <w:rPr>
          <w:b w:val="false"/>
          <w:bCs w:val="false"/>
        </w:rPr>
        <w:t xml:space="preserve">5</w:t>
      </w:r>
    </w:p>
    <w:p>
      <w:pPr>
        <w:keepNext w:val="false"/>
      </w:pPr>
      <w:r>
        <w:rPr>
          <w:b w:val="false"/>
          <w:bCs w:val="false"/>
        </w:rPr>
        <w:t xml:space="preserve">Instalații pentru construcții</w:t>
      </w:r>
    </w:p>
    <w:p>
      <w:pPr>
        <w:keepNext w:val="false"/>
      </w:pPr>
      <w:r>
        <w:rPr>
          <w:b w:val="false"/>
          <w:bCs w:val="false"/>
        </w:rPr>
        <w:t xml:space="preserve">6</w:t>
      </w:r>
    </w:p>
    <w:p>
      <w:pPr>
        <w:keepNext w:val="false"/>
      </w:pPr>
      <w:r>
        <w:rPr>
          <w:b w:val="false"/>
          <w:bCs w:val="false"/>
        </w:rPr>
        <w:t xml:space="preserve">Îmbunătățiri funciare și dezvoltare rurală</w:t>
      </w:r>
    </w:p>
    <w:p>
      <w:pPr>
        <w:keepNext w:val="false"/>
      </w:pPr>
      <w:r>
        <w:rPr>
          <w:b w:val="false"/>
          <w:bCs w:val="false"/>
        </w:rPr>
        <w:t xml:space="preserve">7</w:t>
      </w:r>
    </w:p>
    <w:p>
      <w:pPr>
        <w:keepNext w:val="false"/>
      </w:pPr>
      <w:r>
        <w:rPr>
          <w:b w:val="false"/>
          <w:bCs w:val="false"/>
        </w:rPr>
        <w:t xml:space="preserve">Materiale de construcții</w:t>
      </w:r>
    </w:p>
    <w:p>
      <w:pPr>
        <w:keepNext w:val="false"/>
      </w:pPr>
      <w:r>
        <w:rPr>
          <w:b w:val="false"/>
          <w:bCs w:val="false"/>
        </w:rPr>
        <w:t xml:space="preserve">8</w:t>
      </w:r>
    </w:p>
    <w:p>
      <w:pPr>
        <w:keepNext w:val="false"/>
      </w:pPr>
      <w:r>
        <w:rPr>
          <w:b w:val="false"/>
          <w:bCs w:val="false"/>
        </w:rPr>
        <w:t xml:space="preserve">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9</w:t>
      </w:r>
    </w:p>
    <w:p>
      <w:pPr>
        <w:keepNext w:val="false"/>
      </w:pPr>
      <w:r>
        <w:rPr>
          <w:b w:val="false"/>
          <w:bCs w:val="false"/>
        </w:rPr>
        <w:t xml:space="preserve">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10</w:t>
      </w:r>
    </w:p>
    <w:p>
      <w:pPr>
        <w:keepNext w:val="false"/>
      </w:pPr>
      <w:r>
        <w:rPr>
          <w:b w:val="false"/>
          <w:bCs w:val="false"/>
        </w:rPr>
        <w:t xml:space="preserve">Procese pirogene și incendii</w:t>
      </w:r>
    </w:p>
    <w:p>
      <w:pPr>
        <w:keepNext w:val="false"/>
      </w:pPr>
      <w:r>
        <w:rPr>
          <w:b w:val="false"/>
          <w:bCs w:val="false"/>
        </w:rPr>
        <w:t xml:space="preserve">11</w:t>
      </w:r>
    </w:p>
    <w:p>
      <w:pPr>
        <w:keepNext w:val="false"/>
      </w:pPr>
      <w:r>
        <w:rPr>
          <w:b w:val="false"/>
          <w:bCs w:val="false"/>
        </w:rPr>
        <w:t xml:space="preserve">Inginerie sanitară și protecția mediului</w:t>
      </w:r>
    </w:p>
    <w:p>
      <w:pPr>
        <w:keepNext w:val="false"/>
      </w:pPr>
      <w:r>
        <w:rPr>
          <w:b w:val="false"/>
          <w:bCs w:val="false"/>
        </w:rPr>
        <w:t xml:space="preserve">Inginerie geologică, mine, petrol și gaze</w:t>
      </w:r>
    </w:p>
    <w:p>
      <w:pPr>
        <w:keepNext w:val="false"/>
      </w:pPr>
      <w:r>
        <w:rPr>
          <w:b w:val="false"/>
          <w:bCs w:val="false"/>
        </w:rPr>
        <w:t xml:space="preserve">12</w:t>
      </w:r>
    </w:p>
    <w:p>
      <w:pPr>
        <w:keepNext w:val="false"/>
      </w:pPr>
      <w:r>
        <w:rPr>
          <w:b w:val="false"/>
          <w:bCs w:val="false"/>
        </w:rPr>
        <w:t xml:space="preserve">Inginerie geologică și geofizică</w:t>
      </w:r>
    </w:p>
    <w:p>
      <w:pPr>
        <w:keepNext w:val="false"/>
      </w:pPr>
      <w:r>
        <w:rPr>
          <w:b w:val="false"/>
          <w:bCs w:val="false"/>
        </w:rPr>
        <w:t xml:space="preserve">13</w:t>
      </w:r>
    </w:p>
    <w:p>
      <w:pPr>
        <w:keepNext w:val="false"/>
      </w:pPr>
      <w:r>
        <w:rPr>
          <w:b w:val="false"/>
          <w:bCs w:val="false"/>
        </w:rPr>
        <w:t xml:space="preserve">Petrol și gaze</w:t>
      </w:r>
    </w:p>
    <w:p>
      <w:pPr>
        <w:keepNext w:val="false"/>
      </w:pPr>
      <w:r>
        <w:rPr>
          <w:b w:val="false"/>
          <w:bCs w:val="false"/>
        </w:rPr>
        <w:t xml:space="preserve">Petrol</w:t>
      </w:r>
    </w:p>
    <w:p>
      <w:pPr>
        <w:keepNext w:val="false"/>
      </w:pPr>
      <w:r>
        <w:rPr>
          <w:b w:val="false"/>
          <w:bCs w:val="false"/>
        </w:rPr>
        <w:t xml:space="preserve">Gaze</w:t>
      </w:r>
    </w:p>
    <w:p>
      <w:pPr>
        <w:keepNext w:val="false"/>
      </w:pPr>
      <w:r>
        <w:rPr>
          <w:b w:val="false"/>
          <w:bCs w:val="false"/>
        </w:rPr>
        <w:t xml:space="preserve">14</w:t>
      </w:r>
    </w:p>
    <w:p>
      <w:pPr>
        <w:keepNext w:val="false"/>
      </w:pPr>
      <w:r>
        <w:rPr>
          <w:b w:val="false"/>
          <w:bCs w:val="false"/>
        </w:rPr>
        <w:t xml:space="preserve">Topografie, cadastru și geodezie</w:t>
      </w:r>
    </w:p>
    <w:p>
      <w:pPr>
        <w:keepNext w:val="false"/>
      </w:pPr>
      <w:r>
        <w:rPr>
          <w:b w:val="false"/>
          <w:bCs w:val="false"/>
        </w:rPr>
        <w:t xml:space="preserve">Ingineria transporturilor</w:t>
      </w:r>
    </w:p>
    <w:p>
      <w:pPr>
        <w:keepNext w:val="false"/>
      </w:pPr>
      <w:r>
        <w:rPr>
          <w:b w:val="false"/>
          <w:bCs w:val="false"/>
        </w:rPr>
        <w:t xml:space="preserve">15</w:t>
      </w:r>
    </w:p>
    <w:p>
      <w:pPr>
        <w:keepNext w:val="false"/>
      </w:pPr>
      <w:r>
        <w:rPr>
          <w:b w:val="false"/>
          <w:bCs w:val="false"/>
        </w:rPr>
        <w:t xml:space="preserve">Aeronave și motoare de aviație</w:t>
      </w:r>
    </w:p>
    <w:p>
      <w:pPr>
        <w:keepNext w:val="false"/>
      </w:pPr>
      <w:r>
        <w:rPr>
          <w:b w:val="false"/>
          <w:bCs w:val="false"/>
        </w:rPr>
        <w:t xml:space="preserve">16</w:t>
      </w:r>
    </w:p>
    <w:p>
      <w:pPr>
        <w:keepNext w:val="false"/>
      </w:pPr>
      <w:r>
        <w:rPr>
          <w:b w:val="false"/>
          <w:bCs w:val="false"/>
        </w:rPr>
        <w:t xml:space="preserve">Echipamente și instalații de aviație</w:t>
      </w:r>
    </w:p>
    <w:p>
      <w:pPr>
        <w:keepNext w:val="false"/>
      </w:pPr>
      <w:r>
        <w:rPr>
          <w:b w:val="false"/>
          <w:bCs w:val="false"/>
        </w:rPr>
        <w:t xml:space="preserve">17</w:t>
      </w:r>
    </w:p>
    <w:p>
      <w:pPr>
        <w:keepNext w:val="false"/>
      </w:pPr>
      <w:r>
        <w:rPr>
          <w:b w:val="false"/>
          <w:bCs w:val="false"/>
        </w:rPr>
        <w:t xml:space="preserve">Autovehicule, circulație rutieră</w:t>
      </w:r>
    </w:p>
    <w:p>
      <w:pPr>
        <w:keepNext w:val="false"/>
      </w:pPr>
      <w:r>
        <w:rPr>
          <w:b w:val="false"/>
          <w:bCs w:val="false"/>
        </w:rPr>
        <w:t xml:space="preserve">18</w:t>
      </w:r>
    </w:p>
    <w:p>
      <w:pPr>
        <w:keepNext w:val="false"/>
      </w:pPr>
      <w:r>
        <w:rPr>
          <w:b w:val="false"/>
          <w:bCs w:val="false"/>
        </w:rPr>
        <w:t xml:space="preserve">Echipamente și sisteme de comandă și control pentru autovehicule</w:t>
      </w:r>
    </w:p>
    <w:p>
      <w:pPr>
        <w:keepNext w:val="false"/>
      </w:pPr>
      <w:r>
        <w:rPr>
          <w:b w:val="false"/>
          <w:bCs w:val="false"/>
        </w:rPr>
        <w:t xml:space="preserve">19</w:t>
      </w:r>
    </w:p>
    <w:p>
      <w:pPr>
        <w:keepNext w:val="false"/>
      </w:pPr>
      <w:r>
        <w:rPr>
          <w:b w:val="false"/>
          <w:bCs w:val="false"/>
        </w:rPr>
        <w:t xml:space="preserve">Exploatare căi ferate, locații și vehicule pentru transportul feroviar</w:t>
      </w:r>
    </w:p>
    <w:p>
      <w:pPr>
        <w:keepNext w:val="false"/>
      </w:pPr>
      <w:r>
        <w:rPr>
          <w:b w:val="false"/>
          <w:bCs w:val="false"/>
        </w:rPr>
        <w:t xml:space="preserve">Exploatare căi ferate și locații</w:t>
      </w:r>
    </w:p>
    <w:p>
      <w:pPr>
        <w:keepNext w:val="false"/>
      </w:pPr>
      <w:r>
        <w:rPr>
          <w:b w:val="false"/>
          <w:bCs w:val="false"/>
        </w:rPr>
        <w:t xml:space="preserve">Vehicule pentru transportul feroviar</w:t>
      </w:r>
    </w:p>
    <w:p>
      <w:pPr>
        <w:keepNext w:val="false"/>
      </w:pPr>
      <w:r>
        <w:rPr>
          <w:b w:val="false"/>
          <w:bCs w:val="false"/>
        </w:rPr>
        <w:t xml:space="preserve">Ingineria resurselor vegetale și animale</w:t>
      </w:r>
    </w:p>
    <w:p>
      <w:pPr>
        <w:keepNext w:val="false"/>
      </w:pPr>
      <w:r>
        <w:rPr>
          <w:b w:val="false"/>
          <w:bCs w:val="false"/>
        </w:rPr>
        <w:t xml:space="preserve">20</w:t>
      </w:r>
    </w:p>
    <w:p>
      <w:pPr>
        <w:keepNext w:val="false"/>
      </w:pPr>
      <w:r>
        <w:rPr>
          <w:b w:val="false"/>
          <w:bCs w:val="false"/>
        </w:rPr>
        <w:t xml:space="preserve">Agricultură</w:t>
      </w:r>
    </w:p>
    <w:p>
      <w:pPr>
        <w:keepNext w:val="false"/>
      </w:pPr>
      <w:r>
        <w:rPr>
          <w:b w:val="false"/>
          <w:bCs w:val="false"/>
        </w:rPr>
        <w:t xml:space="preserve">21</w:t>
      </w:r>
    </w:p>
    <w:p>
      <w:pPr>
        <w:keepNext w:val="false"/>
      </w:pPr>
      <w:r>
        <w:rPr>
          <w:b w:val="false"/>
          <w:bCs w:val="false"/>
        </w:rPr>
        <w:t xml:space="preserve">Horticultură</w:t>
      </w:r>
    </w:p>
    <w:p>
      <w:pPr>
        <w:keepNext w:val="false"/>
      </w:pPr>
      <w:r>
        <w:rPr>
          <w:b w:val="false"/>
          <w:bCs w:val="false"/>
        </w:rPr>
        <w:t xml:space="preserve">22</w:t>
      </w:r>
    </w:p>
    <w:p>
      <w:pPr>
        <w:keepNext w:val="false"/>
      </w:pPr>
      <w:r>
        <w:rPr>
          <w:b w:val="false"/>
          <w:bCs w:val="false"/>
        </w:rPr>
        <w:t xml:space="preserve">Vinificație</w:t>
      </w:r>
    </w:p>
    <w:p>
      <w:pPr>
        <w:keepNext w:val="false"/>
      </w:pPr>
      <w:r>
        <w:rPr>
          <w:b w:val="false"/>
          <w:bCs w:val="false"/>
        </w:rPr>
        <w:t xml:space="preserve">23</w:t>
      </w:r>
    </w:p>
    <w:p>
      <w:pPr>
        <w:keepNext w:val="false"/>
      </w:pPr>
      <w:r>
        <w:rPr>
          <w:b w:val="false"/>
          <w:bCs w:val="false"/>
        </w:rPr>
        <w:t xml:space="preserve">Zootehnie</w:t>
      </w:r>
    </w:p>
    <w:p>
      <w:pPr>
        <w:keepNext w:val="false"/>
      </w:pPr>
      <w:r>
        <w:rPr>
          <w:b w:val="false"/>
          <w:bCs w:val="false"/>
        </w:rPr>
        <w:t xml:space="preserve">24</w:t>
      </w:r>
    </w:p>
    <w:p>
      <w:pPr>
        <w:keepNext w:val="false"/>
      </w:pPr>
      <w:r>
        <w:rPr>
          <w:b w:val="false"/>
          <w:bCs w:val="false"/>
        </w:rPr>
        <w:t xml:space="preserve">Apicultură</w:t>
      </w:r>
    </w:p>
    <w:p>
      <w:pPr>
        <w:keepNext w:val="false"/>
      </w:pPr>
      <w:r>
        <w:rPr>
          <w:b w:val="false"/>
          <w:bCs w:val="false"/>
        </w:rPr>
        <w:t xml:space="preserve">25</w:t>
      </w:r>
    </w:p>
    <w:p>
      <w:pPr>
        <w:keepNext w:val="false"/>
      </w:pPr>
      <w:r>
        <w:rPr>
          <w:b w:val="false"/>
          <w:bCs w:val="false"/>
        </w:rPr>
        <w:t xml:space="preserve">Piscicultură și acvacultură</w:t>
      </w:r>
    </w:p>
    <w:p>
      <w:pPr>
        <w:keepNext w:val="false"/>
      </w:pPr>
      <w:r>
        <w:rPr>
          <w:b w:val="false"/>
          <w:bCs w:val="false"/>
        </w:rPr>
        <w:t xml:space="preserve">26</w:t>
      </w:r>
    </w:p>
    <w:p>
      <w:pPr>
        <w:keepNext w:val="false"/>
      </w:pPr>
      <w:r>
        <w:rPr>
          <w:b w:val="false"/>
          <w:bCs w:val="false"/>
        </w:rPr>
        <w:t xml:space="preserve">Silvicultură</w:t>
      </w:r>
    </w:p>
    <w:p>
      <w:pPr>
        <w:keepNext w:val="false"/>
      </w:pPr>
      <w:r>
        <w:rPr>
          <w:b w:val="false"/>
          <w:bCs w:val="false"/>
        </w:rPr>
        <w:t xml:space="preserve">27</w:t>
      </w:r>
    </w:p>
    <w:p>
      <w:pPr>
        <w:keepNext w:val="false"/>
      </w:pPr>
      <w:r>
        <w:rPr>
          <w:b w:val="false"/>
          <w:bCs w:val="false"/>
        </w:rPr>
        <w:t xml:space="preserve">Cinegetică</w:t>
      </w:r>
    </w:p>
    <w:p>
      <w:pPr>
        <w:keepNext w:val="false"/>
      </w:pPr>
      <w:r>
        <w:rPr>
          <w:b w:val="false"/>
          <w:bCs w:val="false"/>
        </w:rPr>
        <w:t xml:space="preserve">28</w:t>
      </w:r>
    </w:p>
    <w:p>
      <w:pPr>
        <w:keepNext w:val="false"/>
      </w:pPr>
      <w:r>
        <w:rPr>
          <w:b w:val="false"/>
          <w:bCs w:val="false"/>
        </w:rPr>
        <w:t xml:space="preserve">Exploatări forestiere</w:t>
      </w:r>
    </w:p>
    <w:p>
      <w:pPr>
        <w:keepNext w:val="false"/>
      </w:pPr>
      <w:r>
        <w:rPr>
          <w:b w:val="false"/>
          <w:bCs w:val="false"/>
        </w:rPr>
        <w:t xml:space="preserve">29</w:t>
      </w:r>
    </w:p>
    <w:p>
      <w:pPr>
        <w:keepNext w:val="false"/>
      </w:pPr>
      <w:r>
        <w:rPr>
          <w:b w:val="false"/>
          <w:bCs w:val="false"/>
        </w:rPr>
        <w:t xml:space="preserve">Ingineria prelucrării lemnului</w:t>
      </w:r>
    </w:p>
    <w:p>
      <w:pPr>
        <w:keepNext w:val="false"/>
      </w:pPr>
      <w:r>
        <w:rPr>
          <w:b w:val="false"/>
          <w:bCs w:val="false"/>
        </w:rPr>
        <w:t xml:space="preserve">30</w:t>
      </w:r>
    </w:p>
    <w:p>
      <w:pPr>
        <w:keepNext w:val="false"/>
      </w:pPr>
      <w:r>
        <w:rPr>
          <w:b w:val="false"/>
          <w:bCs w:val="false"/>
        </w:rPr>
        <w:t xml:space="preserve">Ingineria produselor alimentare</w:t>
      </w:r>
    </w:p>
    <w:p>
      <w:pPr>
        <w:keepNext w:val="false"/>
      </w:pPr>
      <w:r>
        <w:rPr>
          <w:b w:val="false"/>
          <w:bCs w:val="false"/>
        </w:rPr>
        <w:t xml:space="preserve">Inginerie mecanică, mecatronică, inginerie industrială și management</w:t>
      </w:r>
    </w:p>
    <w:p>
      <w:pPr>
        <w:keepNext w:val="false"/>
      </w:pPr>
      <w:r>
        <w:rPr>
          <w:b w:val="false"/>
          <w:bCs w:val="false"/>
        </w:rPr>
        <w:t xml:space="preserve">31</w:t>
      </w:r>
    </w:p>
    <w:p>
      <w:pPr>
        <w:keepNext w:val="false"/>
      </w:pPr>
      <w:r>
        <w:rPr>
          <w:b w:val="false"/>
          <w:bCs w:val="false"/>
        </w:rPr>
        <w:t xml:space="preserve">Sisteme și echipamente termice</w:t>
      </w:r>
    </w:p>
    <w:p>
      <w:pPr>
        <w:keepNext w:val="false"/>
      </w:pPr>
      <w:r>
        <w:rPr>
          <w:b w:val="false"/>
          <w:bCs w:val="false"/>
        </w:rPr>
        <w:t xml:space="preserve">32</w:t>
      </w:r>
    </w:p>
    <w:p>
      <w:pPr>
        <w:keepNext w:val="false"/>
      </w:pPr>
      <w:r>
        <w:rPr>
          <w:b w:val="false"/>
          <w:bCs w:val="false"/>
        </w:rPr>
        <w:t xml:space="preserve">Mașini și sisteme hidraulice și pneumatice</w:t>
      </w:r>
    </w:p>
    <w:p>
      <w:pPr>
        <w:keepNext w:val="false"/>
      </w:pPr>
      <w:r>
        <w:rPr>
          <w:b w:val="false"/>
          <w:bCs w:val="false"/>
        </w:rPr>
        <w:t xml:space="preserve">33</w:t>
      </w:r>
    </w:p>
    <w:p>
      <w:pPr>
        <w:keepNext w:val="false"/>
      </w:pPr>
      <w:r>
        <w:rPr>
          <w:b w:val="false"/>
          <w:bCs w:val="false"/>
        </w:rPr>
        <w:t xml:space="preserve">Mecanică fină și nanotehnologii</w:t>
      </w:r>
    </w:p>
    <w:p>
      <w:pPr>
        <w:keepNext w:val="false"/>
      </w:pPr>
      <w:r>
        <w:rPr>
          <w:b w:val="false"/>
          <w:bCs w:val="false"/>
        </w:rPr>
        <w:t xml:space="preserve">34</w:t>
      </w:r>
    </w:p>
    <w:p>
      <w:pPr>
        <w:keepNext w:val="false"/>
      </w:pPr>
      <w:r>
        <w:rPr>
          <w:b w:val="false"/>
          <w:bCs w:val="false"/>
        </w:rPr>
        <w:t xml:space="preserve">Mașini și echipamente miniere</w:t>
      </w:r>
    </w:p>
    <w:p>
      <w:pPr>
        <w:keepNext w:val="false"/>
      </w:pPr>
      <w:r>
        <w:rPr>
          <w:b w:val="false"/>
          <w:bCs w:val="false"/>
        </w:rPr>
        <w:t xml:space="preserve">35</w:t>
      </w:r>
    </w:p>
    <w:p>
      <w:pPr>
        <w:keepNext w:val="false"/>
      </w:pPr>
      <w:r>
        <w:rPr>
          <w:b w:val="false"/>
          <w:bCs w:val="false"/>
        </w:rPr>
        <w:t xml:space="preserve">Mașini și instalații pentru agricultură și industrie alimentară</w:t>
      </w:r>
    </w:p>
    <w:p>
      <w:pPr>
        <w:keepNext w:val="false"/>
      </w:pPr>
      <w:r>
        <w:rPr>
          <w:b w:val="false"/>
          <w:bCs w:val="false"/>
        </w:rPr>
        <w:t xml:space="preserve">36</w:t>
      </w:r>
    </w:p>
    <w:p>
      <w:pPr>
        <w:keepNext w:val="false"/>
      </w:pPr>
      <w:r>
        <w:rPr>
          <w:b w:val="false"/>
          <w:bCs w:val="false"/>
        </w:rPr>
        <w:t xml:space="preserve">Echipamente pentru procese industriale</w:t>
      </w:r>
    </w:p>
    <w:p>
      <w:pPr>
        <w:keepNext w:val="false"/>
      </w:pPr>
      <w:r>
        <w:rPr>
          <w:b w:val="false"/>
          <w:bCs w:val="false"/>
        </w:rPr>
        <w:t xml:space="preserve">37</w:t>
      </w:r>
    </w:p>
    <w:p>
      <w:pPr>
        <w:keepNext w:val="false"/>
      </w:pPr>
      <w:r>
        <w:rPr>
          <w:b w:val="false"/>
          <w:bCs w:val="false"/>
        </w:rPr>
        <w:t xml:space="preserve">Utilaj tehnologic</w:t>
      </w:r>
    </w:p>
    <w:p>
      <w:pPr>
        <w:keepNext w:val="false"/>
      </w:pPr>
      <w:r>
        <w:rPr>
          <w:b w:val="false"/>
          <w:bCs w:val="false"/>
        </w:rPr>
        <w:t xml:space="preserve">Utilaje pentru textile și pielărie</w:t>
      </w:r>
    </w:p>
    <w:p>
      <w:pPr>
        <w:keepNext w:val="false"/>
      </w:pPr>
      <w:r>
        <w:rPr>
          <w:b w:val="false"/>
          <w:bCs w:val="false"/>
        </w:rPr>
        <w:t xml:space="preserve">Utilaje petroliere și petrochimice</w:t>
      </w:r>
    </w:p>
    <w:p>
      <w:pPr>
        <w:keepNext w:val="false"/>
      </w:pPr>
      <w:r>
        <w:rPr>
          <w:b w:val="false"/>
          <w:bCs w:val="false"/>
        </w:rPr>
        <w:t xml:space="preserve">Utilaje și instalații portuare</w:t>
      </w:r>
    </w:p>
    <w:p>
      <w:pPr>
        <w:keepNext w:val="false"/>
      </w:pPr>
      <w:r>
        <w:rPr>
          <w:b w:val="false"/>
          <w:bCs w:val="false"/>
        </w:rPr>
        <w:t xml:space="preserve">Utilaje tehnologice pentru construcții</w:t>
      </w:r>
    </w:p>
    <w:p>
      <w:pPr>
        <w:keepNext w:val="false"/>
      </w:pPr>
      <w:r>
        <w:rPr>
          <w:b w:val="false"/>
          <w:bCs w:val="false"/>
        </w:rPr>
        <w:t xml:space="preserve">38</w:t>
      </w:r>
    </w:p>
    <w:p>
      <w:pPr>
        <w:keepNext w:val="false"/>
      </w:pPr>
      <w:r>
        <w:rPr>
          <w:b w:val="false"/>
          <w:bCs w:val="false"/>
        </w:rPr>
        <w:t xml:space="preserve">Ingineria și utilajul sudării</w:t>
      </w:r>
    </w:p>
    <w:p>
      <w:pPr>
        <w:keepNext w:val="false"/>
      </w:pPr>
      <w:r>
        <w:rPr>
          <w:b w:val="false"/>
          <w:bCs w:val="false"/>
        </w:rPr>
        <w:t xml:space="preserve">39</w:t>
      </w:r>
    </w:p>
    <w:p>
      <w:pPr>
        <w:keepNext w:val="false"/>
      </w:pPr>
      <w:r>
        <w:rPr>
          <w:b w:val="false"/>
          <w:bCs w:val="false"/>
        </w:rPr>
        <w:t xml:space="preserve">Tehnologia și designul produselor textile și al confecțiilor din piele și înlocuitori</w:t>
      </w:r>
    </w:p>
    <w:p>
      <w:pPr>
        <w:keepNext w:val="false"/>
      </w:pPr>
      <w:r>
        <w:rPr>
          <w:b w:val="false"/>
          <w:bCs w:val="false"/>
        </w:rPr>
        <w:t xml:space="preserve">40</w:t>
      </w:r>
    </w:p>
    <w:p>
      <w:pPr>
        <w:keepNext w:val="false"/>
      </w:pPr>
      <w:r>
        <w:rPr>
          <w:b w:val="false"/>
          <w:bCs w:val="false"/>
        </w:rPr>
        <w:t xml:space="preserve">Construcții și exploatare nave maritime și fluviale</w:t>
      </w:r>
    </w:p>
    <w:p>
      <w:pPr>
        <w:keepNext w:val="false"/>
      </w:pPr>
      <w:r>
        <w:rPr>
          <w:b w:val="false"/>
          <w:bCs w:val="false"/>
        </w:rPr>
        <w:t xml:space="preserve">41</w:t>
      </w:r>
    </w:p>
    <w:p>
      <w:pPr>
        <w:keepNext w:val="false"/>
      </w:pPr>
      <w:r>
        <w:rPr>
          <w:b w:val="false"/>
          <w:bCs w:val="false"/>
        </w:rPr>
        <w:t xml:space="preserve">Tehnologia construcțiilor de mașini</w:t>
      </w:r>
    </w:p>
    <w:p>
      <w:pPr>
        <w:keepNext w:val="false"/>
      </w:pPr>
      <w:r>
        <w:rPr>
          <w:b w:val="false"/>
          <w:bCs w:val="false"/>
        </w:rPr>
        <w:t xml:space="preserve">42</w:t>
      </w:r>
    </w:p>
    <w:p>
      <w:pPr>
        <w:keepNext w:val="false"/>
      </w:pPr>
      <w:r>
        <w:rPr>
          <w:b w:val="false"/>
          <w:bCs w:val="false"/>
        </w:rPr>
        <w:t xml:space="preserve">Metalurgie</w:t>
      </w:r>
    </w:p>
    <w:p>
      <w:pPr>
        <w:keepNext w:val="false"/>
      </w:pPr>
      <w:r>
        <w:rPr>
          <w:b w:val="false"/>
          <w:bCs w:val="false"/>
        </w:rPr>
        <w:t xml:space="preserve">43</w:t>
      </w:r>
    </w:p>
    <w:p>
      <w:pPr>
        <w:keepNext w:val="false"/>
      </w:pPr>
      <w:r>
        <w:rPr>
          <w:b w:val="false"/>
          <w:bCs w:val="false"/>
        </w:rPr>
        <w:t xml:space="preserve">Poligrafie</w:t>
      </w:r>
    </w:p>
    <w:p>
      <w:pPr>
        <w:keepNext w:val="false"/>
      </w:pPr>
      <w:r>
        <w:rPr>
          <w:b w:val="false"/>
          <w:bCs w:val="false"/>
        </w:rPr>
        <w:t xml:space="preserve">44</w:t>
      </w:r>
    </w:p>
    <w:p>
      <w:pPr>
        <w:keepNext w:val="false"/>
      </w:pPr>
      <w:r>
        <w:rPr>
          <w:b w:val="false"/>
          <w:bCs w:val="false"/>
        </w:rPr>
        <w:t xml:space="preserve">Poluare fonică</w:t>
      </w:r>
    </w:p>
    <w:p>
      <w:pPr>
        <w:keepNext w:val="false"/>
      </w:pPr>
      <w:r>
        <w:rPr>
          <w:b w:val="false"/>
          <w:bCs w:val="false"/>
        </w:rPr>
        <w:t xml:space="preserve">45</w:t>
      </w:r>
    </w:p>
    <w:p>
      <w:pPr>
        <w:keepNext w:val="false"/>
      </w:pPr>
      <w:r>
        <w:rPr>
          <w:b w:val="false"/>
          <w:bCs w:val="false"/>
        </w:rPr>
        <w:t xml:space="preserve">Securitate și sănătate în muncă</w:t>
      </w:r>
    </w:p>
    <w:p>
      <w:pPr>
        <w:keepNext w:val="false"/>
      </w:pPr>
      <w:r>
        <w:rPr>
          <w:b w:val="false"/>
          <w:bCs w:val="false"/>
        </w:rPr>
        <w:t xml:space="preserve">Inginerie electrică, electronică și telecomunicații</w:t>
      </w:r>
    </w:p>
    <w:p>
      <w:pPr>
        <w:keepNext w:val="false"/>
      </w:pPr>
      <w:r>
        <w:rPr>
          <w:b w:val="false"/>
          <w:bCs w:val="false"/>
        </w:rPr>
        <w:t xml:space="preserve">46</w:t>
      </w:r>
    </w:p>
    <w:p>
      <w:pPr>
        <w:keepNext w:val="false"/>
      </w:pPr>
      <w:r>
        <w:rPr>
          <w:b w:val="false"/>
          <w:bCs w:val="false"/>
        </w:rPr>
        <w:t xml:space="preserve">Electronică aplicată</w:t>
      </w:r>
    </w:p>
    <w:p>
      <w:pPr>
        <w:keepNext w:val="false"/>
      </w:pPr>
      <w:r>
        <w:rPr>
          <w:b w:val="false"/>
          <w:bCs w:val="false"/>
        </w:rPr>
        <w:t xml:space="preserve">47</w:t>
      </w:r>
    </w:p>
    <w:p>
      <w:pPr>
        <w:keepNext w:val="false"/>
      </w:pPr>
      <w:r>
        <w:rPr>
          <w:b w:val="false"/>
          <w:bCs w:val="false"/>
        </w:rPr>
        <w:t xml:space="preserve">Electronică de putere și acționări electrice</w:t>
      </w:r>
    </w:p>
    <w:p>
      <w:pPr>
        <w:keepNext w:val="false"/>
      </w:pPr>
      <w:r>
        <w:rPr>
          <w:b w:val="false"/>
          <w:bCs w:val="false"/>
        </w:rPr>
        <w:t xml:space="preserve">48</w:t>
      </w:r>
    </w:p>
    <w:p>
      <w:pPr>
        <w:keepNext w:val="false"/>
      </w:pPr>
      <w:r>
        <w:rPr>
          <w:b w:val="false"/>
          <w:bCs w:val="false"/>
        </w:rPr>
        <w:t xml:space="preserve">Electromecanică</w:t>
      </w:r>
    </w:p>
    <w:p>
      <w:pPr>
        <w:keepNext w:val="false"/>
      </w:pPr>
      <w:r>
        <w:rPr>
          <w:b w:val="false"/>
          <w:bCs w:val="false"/>
        </w:rPr>
        <w:t xml:space="preserve">49</w:t>
      </w:r>
    </w:p>
    <w:p>
      <w:pPr>
        <w:keepNext w:val="false"/>
      </w:pPr>
      <w:r>
        <w:rPr>
          <w:b w:val="false"/>
          <w:bCs w:val="false"/>
        </w:rPr>
        <w:t xml:space="preserve">Electrotehnică</w:t>
      </w:r>
    </w:p>
    <w:p>
      <w:pPr>
        <w:keepNext w:val="false"/>
      </w:pPr>
      <w:r>
        <w:rPr>
          <w:b w:val="false"/>
          <w:bCs w:val="false"/>
        </w:rPr>
        <w:t xml:space="preserve">50</w:t>
      </w:r>
    </w:p>
    <w:p>
      <w:pPr>
        <w:keepNext w:val="false"/>
      </w:pPr>
      <w:r>
        <w:rPr>
          <w:b w:val="false"/>
          <w:bCs w:val="false"/>
        </w:rPr>
        <w:t xml:space="preserve">Energetică</w:t>
      </w:r>
    </w:p>
    <w:p>
      <w:pPr>
        <w:keepNext w:val="false"/>
      </w:pPr>
      <w:r>
        <w:rPr>
          <w:b w:val="false"/>
          <w:bCs w:val="false"/>
        </w:rPr>
        <w:t xml:space="preserve">Electroenergetică</w:t>
      </w:r>
    </w:p>
    <w:p>
      <w:pPr>
        <w:keepNext w:val="false"/>
      </w:pPr>
      <w:r>
        <w:rPr>
          <w:b w:val="false"/>
          <w:bCs w:val="false"/>
        </w:rPr>
        <w:t xml:space="preserve">Energetică industrială</w:t>
      </w:r>
    </w:p>
    <w:p>
      <w:pPr>
        <w:keepNext w:val="false"/>
      </w:pPr>
      <w:r>
        <w:rPr>
          <w:b w:val="false"/>
          <w:bCs w:val="false"/>
        </w:rPr>
        <w:t xml:space="preserve">Energetică și tehnologii nucleare</w:t>
      </w:r>
    </w:p>
    <w:p>
      <w:pPr>
        <w:keepNext w:val="false"/>
      </w:pPr>
      <w:r>
        <w:rPr>
          <w:b w:val="false"/>
          <w:bCs w:val="false"/>
        </w:rPr>
        <w:t xml:space="preserve">Hidroenergetică</w:t>
      </w:r>
    </w:p>
    <w:p>
      <w:pPr>
        <w:keepNext w:val="false"/>
      </w:pPr>
      <w:r>
        <w:rPr>
          <w:b w:val="false"/>
          <w:bCs w:val="false"/>
        </w:rPr>
        <w:t xml:space="preserve">Termoenergetică</w:t>
      </w:r>
    </w:p>
    <w:p>
      <w:pPr>
        <w:keepNext w:val="false"/>
      </w:pPr>
      <w:r>
        <w:rPr>
          <w:b w:val="false"/>
          <w:bCs w:val="false"/>
        </w:rPr>
        <w:t xml:space="preserve">51</w:t>
      </w:r>
    </w:p>
    <w:p>
      <w:pPr>
        <w:keepNext w:val="false"/>
      </w:pPr>
      <w:r>
        <w:rPr>
          <w:b w:val="false"/>
          <w:bCs w:val="false"/>
        </w:rPr>
        <w:t xml:space="preserve">Rețele și software de telecomunicații</w:t>
      </w:r>
    </w:p>
    <w:p>
      <w:pPr>
        <w:keepNext w:val="false"/>
      </w:pPr>
      <w:r>
        <w:rPr>
          <w:b w:val="false"/>
          <w:bCs w:val="false"/>
        </w:rPr>
        <w:t xml:space="preserve">Ingineria sistemelor, calculatoare și tehnologia informației</w:t>
      </w:r>
    </w:p>
    <w:p>
      <w:pPr>
        <w:keepNext w:val="false"/>
      </w:pPr>
      <w:r>
        <w:rPr>
          <w:b w:val="false"/>
          <w:bCs w:val="false"/>
        </w:rPr>
        <w:t xml:space="preserve">52</w:t>
      </w:r>
    </w:p>
    <w:p>
      <w:pPr>
        <w:keepNext w:val="false"/>
      </w:pPr>
      <w:r>
        <w:rPr>
          <w:b w:val="false"/>
          <w:bCs w:val="false"/>
        </w:rPr>
        <w:t xml:space="preserve">Automatică și informatică industrială</w:t>
      </w:r>
    </w:p>
    <w:p>
      <w:pPr>
        <w:keepNext w:val="false"/>
      </w:pPr>
      <w:r>
        <w:rPr>
          <w:b w:val="false"/>
          <w:bCs w:val="false"/>
        </w:rPr>
        <w:t xml:space="preserve">53</w:t>
      </w:r>
    </w:p>
    <w:p>
      <w:pPr>
        <w:keepNext w:val="false"/>
      </w:pPr>
      <w:r>
        <w:rPr>
          <w:b w:val="false"/>
          <w:bCs w:val="false"/>
        </w:rPr>
        <w:t xml:space="preserve">Calculatoare</w:t>
      </w:r>
    </w:p>
    <w:p>
      <w:pPr>
        <w:keepNext w:val="false"/>
      </w:pPr>
      <w:r>
        <w:rPr>
          <w:b w:val="false"/>
          <w:bCs w:val="false"/>
        </w:rPr>
        <w:t xml:space="preserve">Matematică și științe ale naturii</w:t>
      </w:r>
    </w:p>
    <w:p>
      <w:pPr>
        <w:keepNext w:val="false"/>
      </w:pPr>
      <w:r>
        <w:rPr>
          <w:b w:val="false"/>
          <w:bCs w:val="false"/>
        </w:rPr>
        <w:t xml:space="preserve">Informatică</w:t>
      </w:r>
    </w:p>
    <w:p>
      <w:pPr>
        <w:keepNext w:val="false"/>
      </w:pPr>
      <w:r>
        <w:rPr>
          <w:b w:val="false"/>
          <w:bCs w:val="false"/>
        </w:rPr>
        <w:t xml:space="preserve">54</w:t>
      </w:r>
    </w:p>
    <w:p>
      <w:pPr>
        <w:keepNext w:val="false"/>
      </w:pPr>
      <w:r>
        <w:rPr>
          <w:b w:val="false"/>
          <w:bCs w:val="false"/>
        </w:rPr>
        <w:t xml:space="preserve">Informatică</w:t>
      </w:r>
    </w:p>
    <w:p>
      <w:pPr>
        <w:keepNext w:val="false"/>
      </w:pPr>
      <w:r>
        <w:rPr>
          <w:b w:val="false"/>
          <w:bCs w:val="false"/>
        </w:rPr>
        <w:t xml:space="preserve">Chimie și inginerie chimică</w:t>
      </w:r>
    </w:p>
    <w:p>
      <w:pPr>
        <w:keepNext w:val="false"/>
      </w:pPr>
      <w:r>
        <w:rPr>
          <w:b w:val="false"/>
          <w:bCs w:val="false"/>
        </w:rPr>
        <w:t xml:space="preserve">55</w:t>
      </w:r>
    </w:p>
    <w:p>
      <w:pPr>
        <w:keepNext w:val="false"/>
      </w:pPr>
      <w:r>
        <w:rPr>
          <w:b w:val="false"/>
          <w:bCs w:val="false"/>
        </w:rPr>
        <w:t xml:space="preserve">Chimie</w:t>
      </w:r>
    </w:p>
    <w:p>
      <w:pPr>
        <w:keepNext w:val="false"/>
      </w:pPr>
      <w:r>
        <w:rPr>
          <w:b w:val="false"/>
          <w:bCs w:val="false"/>
        </w:rPr>
        <w:t xml:space="preserve">56</w:t>
      </w:r>
    </w:p>
    <w:p>
      <w:pPr>
        <w:keepNext w:val="false"/>
      </w:pPr>
      <w:r>
        <w:rPr>
          <w:b w:val="false"/>
          <w:bCs w:val="false"/>
        </w:rPr>
        <w:t xml:space="preserve">Chimia și ingineria substanțelor organice, petrochimie și carbochimie</w:t>
      </w:r>
    </w:p>
    <w:p>
      <w:pPr>
        <w:keepNext w:val="false"/>
      </w:pPr>
      <w:r>
        <w:rPr>
          <w:b w:val="false"/>
          <w:bCs w:val="false"/>
        </w:rPr>
        <w:t xml:space="preserve">57</w:t>
      </w:r>
    </w:p>
    <w:p>
      <w:pPr>
        <w:keepNext w:val="false"/>
      </w:pPr>
      <w:r>
        <w:rPr>
          <w:b w:val="false"/>
          <w:bCs w:val="false"/>
        </w:rPr>
        <w:t xml:space="preserve">Radiochimie</w:t>
      </w:r>
    </w:p>
    <w:p>
      <w:pPr>
        <w:keepNext w:val="false"/>
      </w:pPr>
      <w:r>
        <w:rPr>
          <w:b w:val="false"/>
          <w:bCs w:val="false"/>
        </w:rPr>
        <w:t xml:space="preserve">58</w:t>
      </w:r>
    </w:p>
    <w:p>
      <w:pPr>
        <w:keepNext w:val="false"/>
      </w:pPr>
      <w:r>
        <w:rPr>
          <w:b w:val="false"/>
          <w:bCs w:val="false"/>
        </w:rPr>
        <w:t xml:space="preserve">Prelucrarea petrolului și petrochimie</w:t>
      </w:r>
    </w:p>
    <w:p>
      <w:pPr>
        <w:keepNext w:val="false"/>
      </w:pPr>
      <w:r>
        <w:rPr>
          <w:b w:val="false"/>
          <w:bCs w:val="false"/>
        </w:rPr>
        <w:t xml:space="preserve">59</w:t>
      </w:r>
    </w:p>
    <w:p>
      <w:pPr>
        <w:keepNext w:val="false"/>
      </w:pPr>
      <w:r>
        <w:rPr>
          <w:b w:val="false"/>
          <w:bCs w:val="false"/>
        </w:rPr>
        <w:t xml:space="preserve">Fabricarea sticlei și ceramicii</w:t>
      </w:r>
    </w:p>
    <w:p>
      <w:pPr>
        <w:keepNext w:val="false"/>
      </w:pPr>
      <w:r>
        <w:rPr>
          <w:b w:val="false"/>
          <w:bCs w:val="false"/>
        </w:rPr>
        <w:t xml:space="preserve">60</w:t>
      </w:r>
    </w:p>
    <w:p>
      <w:pPr>
        <w:keepNext w:val="false"/>
      </w:pPr>
      <w:r>
        <w:rPr>
          <w:b w:val="false"/>
          <w:bCs w:val="false"/>
        </w:rPr>
        <w:t xml:space="preserve">Cauciuc mase plastice</w:t>
      </w:r>
    </w:p>
    <w:p>
      <w:pPr>
        <w:keepNext w:val="false"/>
      </w:pPr>
      <w:r>
        <w:rPr>
          <w:b w:val="false"/>
          <w:bCs w:val="false"/>
        </w:rPr>
        <w:t xml:space="preserve">Științele pământului și atmosferei</w:t>
      </w:r>
    </w:p>
    <w:p>
      <w:pPr>
        <w:keepNext w:val="false"/>
      </w:pPr>
      <w:r>
        <w:rPr>
          <w:b w:val="false"/>
          <w:bCs w:val="false"/>
        </w:rPr>
        <w:t xml:space="preserve">61</w:t>
      </w:r>
    </w:p>
    <w:p>
      <w:pPr>
        <w:keepNext w:val="false"/>
      </w:pPr>
      <w:r>
        <w:rPr>
          <w:b w:val="false"/>
          <w:bCs w:val="false"/>
        </w:rPr>
        <w:t xml:space="preserve">Analiza apei</w:t>
      </w:r>
    </w:p>
    <w:p>
      <w:pPr>
        <w:keepNext w:val="false"/>
      </w:pPr>
      <w:r>
        <w:rPr>
          <w:b w:val="false"/>
          <w:bCs w:val="false"/>
        </w:rPr>
        <w:t xml:space="preserve">62</w:t>
      </w:r>
    </w:p>
    <w:p>
      <w:pPr>
        <w:keepNext w:val="false"/>
      </w:pPr>
      <w:r>
        <w:rPr>
          <w:b w:val="false"/>
          <w:bCs w:val="false"/>
        </w:rPr>
        <w:t xml:space="preserve">Ecologie și protecția mediului</w:t>
      </w:r>
    </w:p>
    <w:p>
      <w:pPr>
        <w:keepNext w:val="false"/>
      </w:pPr>
      <w:r>
        <w:rPr>
          <w:b w:val="false"/>
          <w:bCs w:val="false"/>
        </w:rPr>
        <w:t xml:space="preserve">63</w:t>
      </w:r>
    </w:p>
    <w:p>
      <w:pPr>
        <w:keepNext w:val="false"/>
      </w:pPr>
      <w:r>
        <w:rPr>
          <w:b w:val="false"/>
          <w:bCs w:val="false"/>
        </w:rPr>
        <w:t xml:space="preserve">Geologie</w:t>
      </w:r>
    </w:p>
    <w:p>
      <w:pPr>
        <w:keepNext w:val="false"/>
      </w:pPr>
      <w:r>
        <w:rPr>
          <w:b w:val="false"/>
          <w:bCs w:val="false"/>
        </w:rPr>
        <w:t xml:space="preserve">64</w:t>
      </w:r>
    </w:p>
    <w:p>
      <w:pPr>
        <w:keepNext w:val="false"/>
      </w:pPr>
      <w:r>
        <w:rPr>
          <w:b w:val="false"/>
          <w:bCs w:val="false"/>
        </w:rPr>
        <w:t xml:space="preserve">Metale prețioase</w:t>
      </w:r>
    </w:p>
    <w:p>
      <w:pPr>
        <w:keepNext w:val="false"/>
      </w:pPr>
      <w:r>
        <w:rPr>
          <w:b w:val="false"/>
          <w:bCs w:val="false"/>
        </w:rPr>
        <w:t xml:space="preserve">Fizică</w:t>
      </w:r>
    </w:p>
    <w:p>
      <w:pPr>
        <w:keepNext w:val="false"/>
      </w:pPr>
      <w:r>
        <w:rPr>
          <w:b w:val="false"/>
          <w:bCs w:val="false"/>
        </w:rPr>
        <w:t xml:space="preserve">65</w:t>
      </w:r>
    </w:p>
    <w:p>
      <w:pPr>
        <w:keepNext w:val="false"/>
      </w:pPr>
      <w:r>
        <w:rPr>
          <w:b w:val="false"/>
          <w:bCs w:val="false"/>
        </w:rPr>
        <w:t xml:space="preserve">Fizică</w:t>
      </w:r>
    </w:p>
    <w:p>
      <w:pPr>
        <w:keepNext w:val="false"/>
      </w:pPr>
      <w:r>
        <w:rPr>
          <w:b w:val="false"/>
          <w:bCs w:val="false"/>
        </w:rPr>
        <w:t xml:space="preserve">66</w:t>
      </w:r>
    </w:p>
    <w:p>
      <w:pPr>
        <w:keepNext w:val="false"/>
      </w:pPr>
      <w:r>
        <w:rPr>
          <w:b w:val="false"/>
          <w:bCs w:val="false"/>
        </w:rPr>
        <w:t xml:space="preserve">Metrologie</w:t>
      </w:r>
    </w:p>
    <w:p>
      <w:pPr>
        <w:keepNext w:val="false"/>
      </w:pPr>
      <w:r>
        <w:rPr>
          <w:b w:val="false"/>
          <w:bCs w:val="false"/>
        </w:rPr>
        <w:t xml:space="preserve">Științe sociale</w:t>
      </w:r>
    </w:p>
    <w:p>
      <w:pPr>
        <w:keepNext w:val="false"/>
      </w:pPr>
      <w:r>
        <w:rPr>
          <w:b w:val="false"/>
          <w:bCs w:val="false"/>
        </w:rPr>
        <w:t xml:space="preserve">Științe economice</w:t>
      </w:r>
    </w:p>
    <w:p>
      <w:pPr>
        <w:keepNext w:val="false"/>
      </w:pPr>
      <w:r>
        <w:rPr>
          <w:b w:val="false"/>
          <w:bCs w:val="false"/>
        </w:rPr>
        <w:t xml:space="preserve">67</w:t>
      </w:r>
    </w:p>
    <w:p>
      <w:pPr>
        <w:keepNext w:val="false"/>
      </w:pPr>
      <w:r>
        <w:rPr>
          <w:b w:val="false"/>
          <w:bCs w:val="false"/>
        </w:rPr>
        <w:t xml:space="preserve">Contabilitate</w:t>
      </w:r>
    </w:p>
    <w:p>
      <w:pPr>
        <w:keepNext w:val="false"/>
      </w:pPr>
      <w:r>
        <w:rPr>
          <w:b w:val="false"/>
          <w:bCs w:val="false"/>
        </w:rPr>
        <w:t xml:space="preserve">Contabilitate (1) - Societăți comerciale și alte entități economice</w:t>
      </w:r>
    </w:p>
    <w:p>
      <w:pPr>
        <w:keepNext w:val="false"/>
      </w:pPr>
      <w:r>
        <w:rPr>
          <w:b w:val="false"/>
          <w:bCs w:val="false"/>
        </w:rPr>
        <w:t xml:space="preserve">Contabilitate (2) - Instituții de credit și instituții financiare nebancare</w:t>
      </w:r>
    </w:p>
    <w:p>
      <w:pPr>
        <w:keepNext w:val="false"/>
      </w:pPr>
      <w:r>
        <w:rPr>
          <w:b w:val="false"/>
          <w:bCs w:val="false"/>
        </w:rPr>
        <w:t xml:space="preserve">Contabilitate (3) - Societăți de asigurare și alte entități din domeniul asigurărilor</w:t>
      </w:r>
    </w:p>
    <w:p>
      <w:pPr>
        <w:keepNext w:val="false"/>
      </w:pPr>
      <w:r>
        <w:rPr>
          <w:b w:val="false"/>
          <w:bCs w:val="false"/>
        </w:rPr>
        <w:t xml:space="preserve">Contabilitate (4) - Societăți de investiții financiare și alte entități de valori mobiliare</w:t>
      </w:r>
    </w:p>
    <w:p>
      <w:pPr>
        <w:keepNext w:val="false"/>
      </w:pPr>
      <w:r>
        <w:rPr>
          <w:b w:val="false"/>
          <w:bCs w:val="false"/>
        </w:rPr>
        <w:t xml:space="preserve">Contabilitate (5) - Instituții publice</w:t>
      </w:r>
    </w:p>
    <w:p>
      <w:pPr>
        <w:keepNext w:val="false"/>
      </w:pPr>
      <w:r>
        <w:rPr>
          <w:b w:val="false"/>
          <w:bCs w:val="false"/>
        </w:rPr>
        <w:t xml:space="preserve">Contabilitate (6) - Organizații nonprofit, inclusiv asociații de proprietari</w:t>
      </w:r>
    </w:p>
    <w:p>
      <w:pPr>
        <w:keepNext w:val="false"/>
      </w:pPr>
      <w:r>
        <w:rPr>
          <w:b w:val="false"/>
          <w:bCs w:val="false"/>
        </w:rPr>
        <w:t xml:space="preserve">Contabilitate (7) - Drepturi salariale, pensii, activități independente și alte activități privind persoanele fizice</w:t>
      </w:r>
    </w:p>
    <w:p>
      <w:pPr>
        <w:keepNext w:val="false"/>
      </w:pPr>
      <w:r>
        <w:rPr>
          <w:b w:val="false"/>
          <w:bCs w:val="false"/>
        </w:rPr>
        <w:t xml:space="preserve">Contabilitate (8) - Gestionarea fondurilor comunitare</w:t>
      </w:r>
    </w:p>
    <w:p>
      <w:pPr>
        <w:keepNext w:val="false"/>
      </w:pPr>
      <w:r>
        <w:rPr>
          <w:b w:val="false"/>
          <w:bCs w:val="false"/>
        </w:rPr>
        <w:t xml:space="preserve">Contabilitate (9) - Fiscalitate</w:t>
      </w:r>
    </w:p>
    <w:p>
      <w:pPr>
        <w:keepNext w:val="false"/>
      </w:pPr>
      <w:r>
        <w:rPr>
          <w:b w:val="false"/>
          <w:bCs w:val="false"/>
        </w:rPr>
        <w:t xml:space="preserve">68</w:t>
      </w:r>
    </w:p>
    <w:p>
      <w:pPr>
        <w:keepNext w:val="false"/>
      </w:pPr>
      <w:r>
        <w:rPr>
          <w:b w:val="false"/>
          <w:bCs w:val="false"/>
        </w:rPr>
        <w:t xml:space="preserve">Contabilitate - asigurări sociale</w:t>
      </w:r>
    </w:p>
    <w:p>
      <w:pPr>
        <w:keepNext w:val="false"/>
      </w:pPr>
      <w:r>
        <w:rPr>
          <w:b w:val="false"/>
          <w:bCs w:val="false"/>
        </w:rPr>
        <w:t xml:space="preserve">69</w:t>
      </w:r>
    </w:p>
    <w:p>
      <w:pPr>
        <w:keepNext w:val="false"/>
      </w:pPr>
      <w:r>
        <w:rPr>
          <w:b w:val="false"/>
          <w:bCs w:val="false"/>
        </w:rPr>
        <w:t xml:space="preserve">Contabilitate - audit financiar</w:t>
      </w:r>
    </w:p>
    <w:p>
      <w:pPr>
        <w:keepNext w:val="false"/>
      </w:pPr>
      <w:r>
        <w:rPr>
          <w:b w:val="false"/>
          <w:bCs w:val="false"/>
        </w:rPr>
        <w:t xml:space="preserve">70</w:t>
      </w:r>
    </w:p>
    <w:p>
      <w:pPr>
        <w:keepNext w:val="false"/>
      </w:pPr>
      <w:r>
        <w:rPr>
          <w:b w:val="false"/>
          <w:bCs w:val="false"/>
        </w:rPr>
        <w:t xml:space="preserve">Fiscalitate</w:t>
      </w:r>
    </w:p>
    <w:p>
      <w:pPr>
        <w:keepNext w:val="false"/>
      </w:pPr>
      <w:r>
        <w:rPr>
          <w:b w:val="false"/>
          <w:bCs w:val="false"/>
        </w:rPr>
        <w:t xml:space="preserve">71</w:t>
      </w:r>
    </w:p>
    <w:p>
      <w:pPr>
        <w:keepNext w:val="false"/>
      </w:pPr>
      <w:r>
        <w:rPr>
          <w:b w:val="false"/>
          <w:bCs w:val="false"/>
        </w:rPr>
        <w:t xml:space="preserve">Drepturi bănești cuvenite inventatorilor</w:t>
      </w:r>
    </w:p>
    <w:p>
      <w:pPr>
        <w:keepNext w:val="false"/>
      </w:pPr>
      <w:r>
        <w:rPr>
          <w:b w:val="false"/>
          <w:bCs w:val="false"/>
        </w:rPr>
        <w:t xml:space="preserve">72</w:t>
      </w:r>
    </w:p>
    <w:p>
      <w:pPr>
        <w:keepNext w:val="false"/>
      </w:pPr>
      <w:r>
        <w:rPr>
          <w:b w:val="false"/>
          <w:bCs w:val="false"/>
        </w:rPr>
        <w:t xml:space="preserve">Organizarea muncii, salarizare</w:t>
      </w:r>
    </w:p>
    <w:p>
      <w:pPr>
        <w:keepNext w:val="false"/>
      </w:pPr>
      <w:r>
        <w:rPr>
          <w:b w:val="false"/>
          <w:bCs w:val="false"/>
        </w:rPr>
        <w:t xml:space="preserve">73</w:t>
      </w:r>
    </w:p>
    <w:p>
      <w:pPr>
        <w:keepNext w:val="false"/>
      </w:pPr>
      <w:r>
        <w:rPr>
          <w:b w:val="false"/>
          <w:bCs w:val="false"/>
        </w:rPr>
        <w:t xml:space="preserve">Merceologie și managementul calității</w:t>
      </w:r>
    </w:p>
    <w:p>
      <w:pPr>
        <w:keepNext w:val="false"/>
      </w:pPr>
      <w:r>
        <w:rPr>
          <w:b w:val="false"/>
          <w:bCs w:val="false"/>
        </w:rPr>
        <w:t xml:space="preserve">Psihologie și științe comportamentale</w:t>
      </w:r>
    </w:p>
    <w:p>
      <w:pPr>
        <w:keepNext w:val="false"/>
      </w:pPr>
      <w:r>
        <w:rPr>
          <w:b w:val="false"/>
          <w:bCs w:val="false"/>
        </w:rPr>
        <w:t xml:space="preserve">74</w:t>
      </w:r>
    </w:p>
    <w:p>
      <w:pPr>
        <w:keepNext w:val="false"/>
      </w:pPr>
      <w:r>
        <w:rPr>
          <w:b w:val="false"/>
          <w:bCs w:val="false"/>
        </w:rPr>
        <w:t xml:space="preserve">Psihologie</w:t>
      </w:r>
    </w:p>
    <w:p>
      <w:pPr>
        <w:keepNext w:val="false"/>
      </w:pPr>
      <w:r>
        <w:rPr>
          <w:b w:val="false"/>
          <w:bCs w:val="false"/>
        </w:rPr>
        <w:t xml:space="preserve">Psihologie clinică și psihoterapie</w:t>
      </w:r>
    </w:p>
    <w:p>
      <w:pPr>
        <w:keepNext w:val="false"/>
      </w:pPr>
      <w:r>
        <w:rPr>
          <w:b w:val="false"/>
          <w:bCs w:val="false"/>
        </w:rPr>
        <w:t xml:space="preserve">Psihologie educațională, consiliere școlară și vocațională</w:t>
      </w:r>
    </w:p>
    <w:p>
      <w:pPr>
        <w:keepNext w:val="false"/>
      </w:pPr>
      <w:r>
        <w:rPr>
          <w:b w:val="false"/>
          <w:bCs w:val="false"/>
        </w:rPr>
        <w:t xml:space="preserve">Psihologia muncii, transporturilor și serviciilor</w:t>
      </w:r>
    </w:p>
    <w:p>
      <w:pPr>
        <w:keepNext w:val="false"/>
      </w:pPr>
      <w:r>
        <w:rPr>
          <w:b w:val="false"/>
          <w:bCs w:val="false"/>
        </w:rPr>
        <w:t xml:space="preserve">Psihologie aplicată în domeniul securității naționale</w:t>
      </w:r>
    </w:p>
    <w:p>
      <w:pPr>
        <w:keepNext w:val="false"/>
      </w:pPr>
      <w:r>
        <w:rPr>
          <w:b w:val="false"/>
          <w:bCs w:val="false"/>
        </w:rPr>
        <w:t xml:space="preserve">Științe biologice și biomedicale</w:t>
      </w:r>
    </w:p>
    <w:p>
      <w:pPr>
        <w:keepNext w:val="false"/>
      </w:pPr>
      <w:r>
        <w:rPr>
          <w:b w:val="false"/>
          <w:bCs w:val="false"/>
        </w:rPr>
        <w:t xml:space="preserve">Biologie</w:t>
      </w:r>
    </w:p>
    <w:p>
      <w:pPr>
        <w:keepNext w:val="false"/>
      </w:pPr>
      <w:r>
        <w:rPr>
          <w:b w:val="false"/>
          <w:bCs w:val="false"/>
        </w:rPr>
        <w:t xml:space="preserve">75</w:t>
      </w:r>
    </w:p>
    <w:p>
      <w:pPr>
        <w:keepNext w:val="false"/>
      </w:pPr>
      <w:r>
        <w:rPr>
          <w:b w:val="false"/>
          <w:bCs w:val="false"/>
        </w:rPr>
        <w:t xml:space="preserve">Biologie</w:t>
      </w:r>
    </w:p>
    <w:p>
      <w:pPr>
        <w:keepNext w:val="false"/>
      </w:pPr>
      <w:r>
        <w:rPr>
          <w:b w:val="false"/>
          <w:bCs w:val="false"/>
        </w:rPr>
        <w:t xml:space="preserve">Medicină</w:t>
      </w:r>
    </w:p>
    <w:p>
      <w:pPr>
        <w:keepNext w:val="false"/>
      </w:pPr>
      <w:r>
        <w:rPr>
          <w:b w:val="false"/>
          <w:bCs w:val="false"/>
        </w:rPr>
        <w:t xml:space="preserve">76</w:t>
      </w:r>
    </w:p>
    <w:p>
      <w:pPr>
        <w:keepNext w:val="false"/>
      </w:pPr>
      <w:r>
        <w:rPr>
          <w:b w:val="false"/>
          <w:bCs w:val="false"/>
        </w:rPr>
        <w:t xml:space="preserve">Medicină</w:t>
      </w:r>
    </w:p>
    <w:p>
      <w:pPr>
        <w:keepNext w:val="false"/>
      </w:pPr>
      <w:r>
        <w:rPr>
          <w:b w:val="false"/>
          <w:bCs w:val="false"/>
        </w:rPr>
        <w:t xml:space="preserve">Medicină dentară</w:t>
      </w:r>
    </w:p>
    <w:p>
      <w:pPr>
        <w:keepNext w:val="false"/>
      </w:pPr>
      <w:r>
        <w:rPr>
          <w:b w:val="false"/>
          <w:bCs w:val="false"/>
        </w:rPr>
        <w:t xml:space="preserve">77</w:t>
      </w:r>
    </w:p>
    <w:p>
      <w:pPr>
        <w:keepNext w:val="false"/>
      </w:pPr>
      <w:r>
        <w:rPr>
          <w:b w:val="false"/>
          <w:bCs w:val="false"/>
        </w:rPr>
        <w:t xml:space="preserve">Medicină dentară</w:t>
      </w:r>
    </w:p>
    <w:p>
      <w:pPr>
        <w:keepNext w:val="false"/>
      </w:pPr>
      <w:r>
        <w:rPr>
          <w:b w:val="false"/>
          <w:bCs w:val="false"/>
        </w:rPr>
        <w:t xml:space="preserve">Farmacie</w:t>
      </w:r>
    </w:p>
    <w:p>
      <w:pPr>
        <w:keepNext w:val="false"/>
      </w:pPr>
      <w:r>
        <w:rPr>
          <w:b w:val="false"/>
          <w:bCs w:val="false"/>
        </w:rPr>
        <w:t xml:space="preserve">78</w:t>
      </w:r>
    </w:p>
    <w:p>
      <w:pPr>
        <w:keepNext w:val="false"/>
      </w:pPr>
      <w:r>
        <w:rPr>
          <w:b w:val="false"/>
          <w:bCs w:val="false"/>
        </w:rPr>
        <w:t xml:space="preserve">Farmacie</w:t>
      </w:r>
    </w:p>
    <w:p>
      <w:pPr>
        <w:keepNext w:val="false"/>
      </w:pPr>
      <w:r>
        <w:rPr>
          <w:b w:val="false"/>
          <w:bCs w:val="false"/>
        </w:rPr>
        <w:t xml:space="preserve">Medicină veterinară</w:t>
      </w:r>
    </w:p>
    <w:p>
      <w:pPr>
        <w:keepNext w:val="false"/>
      </w:pPr>
      <w:r>
        <w:rPr>
          <w:b w:val="false"/>
          <w:bCs w:val="false"/>
        </w:rPr>
        <w:t xml:space="preserve">79</w:t>
      </w:r>
    </w:p>
    <w:p>
      <w:pPr>
        <w:keepNext w:val="false"/>
      </w:pPr>
      <w:r>
        <w:rPr>
          <w:b w:val="false"/>
          <w:bCs w:val="false"/>
        </w:rPr>
        <w:t xml:space="preserve">Medicină veterinară</w:t>
      </w:r>
    </w:p>
    <w:p>
      <w:pPr>
        <w:keepNext w:val="false"/>
      </w:pPr>
      <w:r>
        <w:rPr>
          <w:b w:val="false"/>
          <w:bCs w:val="false"/>
        </w:rPr>
        <w:t xml:space="preserve">Științe umaniste și arte</w:t>
      </w:r>
    </w:p>
    <w:p>
      <w:pPr>
        <w:keepNext w:val="false"/>
      </w:pPr>
      <w:r>
        <w:rPr>
          <w:b w:val="false"/>
          <w:bCs w:val="false"/>
        </w:rPr>
        <w:t xml:space="preserve">Arhitectură și urbanism</w:t>
      </w:r>
    </w:p>
    <w:p>
      <w:pPr>
        <w:keepNext w:val="false"/>
      </w:pPr>
      <w:r>
        <w:rPr>
          <w:b w:val="false"/>
          <w:bCs w:val="false"/>
        </w:rPr>
        <w:t xml:space="preserve">80</w:t>
      </w:r>
    </w:p>
    <w:p>
      <w:pPr>
        <w:keepNext w:val="false"/>
      </w:pPr>
      <w:r>
        <w:rPr>
          <w:b w:val="false"/>
          <w:bCs w:val="false"/>
        </w:rPr>
        <w:t xml:space="preserve">Arhitectură</w:t>
      </w:r>
    </w:p>
    <w:p>
      <w:pPr>
        <w:keepNext w:val="false"/>
      </w:pPr>
      <w:r>
        <w:rPr>
          <w:b w:val="false"/>
          <w:bCs w:val="false"/>
        </w:rPr>
        <w:t xml:space="preserve">81</w:t>
      </w:r>
    </w:p>
    <w:p>
      <w:pPr>
        <w:keepNext w:val="false"/>
      </w:pPr>
      <w:r>
        <w:rPr>
          <w:b w:val="false"/>
          <w:bCs w:val="false"/>
        </w:rPr>
        <w:t xml:space="preserve">Urbanism și amenajarea teritoriului</w:t>
      </w:r>
    </w:p>
    <w:p>
      <w:pPr>
        <w:keepNext w:val="false"/>
      </w:pPr>
      <w:r>
        <w:rPr>
          <w:b w:val="false"/>
          <w:bCs w:val="false"/>
        </w:rPr>
        <w:t xml:space="preserve">Arte</w:t>
      </w:r>
    </w:p>
    <w:p>
      <w:pPr>
        <w:keepNext w:val="false"/>
      </w:pPr>
      <w:r>
        <w:rPr>
          <w:b w:val="false"/>
          <w:bCs w:val="false"/>
        </w:rPr>
        <w:t xml:space="preserve">82</w:t>
      </w:r>
    </w:p>
    <w:p>
      <w:pPr>
        <w:keepNext w:val="false"/>
      </w:pPr>
      <w:r>
        <w:rPr>
          <w:b w:val="false"/>
          <w:bCs w:val="false"/>
        </w:rPr>
        <w:t xml:space="preserve">Arte plastice</w:t>
      </w:r>
    </w:p>
    <w:p>
      <w:pPr>
        <w:keepNext w:val="false"/>
      </w:pPr>
      <w:r>
        <w:rPr>
          <w:b w:val="false"/>
          <w:bCs w:val="false"/>
        </w:rPr>
        <w:t xml:space="preserve">Pictură</w:t>
      </w:r>
    </w:p>
    <w:p>
      <w:pPr>
        <w:keepNext w:val="false"/>
      </w:pPr>
      <w:r>
        <w:rPr>
          <w:b w:val="false"/>
          <w:bCs w:val="false"/>
        </w:rPr>
        <w:t xml:space="preserve">Sculptură</w:t>
      </w:r>
    </w:p>
    <w:p>
      <w:pPr>
        <w:keepNext w:val="false"/>
      </w:pPr>
      <w:r>
        <w:rPr>
          <w:b w:val="false"/>
          <w:bCs w:val="false"/>
        </w:rPr>
        <w:t xml:space="preserve">Grafică</w:t>
      </w:r>
    </w:p>
    <w:p>
      <w:pPr>
        <w:keepNext w:val="false"/>
      </w:pPr>
      <w:r>
        <w:rPr>
          <w:b w:val="false"/>
          <w:bCs w:val="false"/>
        </w:rPr>
        <w:t xml:space="preserve">Fotografie - videoprocesarea computerizată a imaginii</w:t>
      </w:r>
    </w:p>
    <w:p>
      <w:pPr>
        <w:keepNext w:val="false"/>
      </w:pPr>
      <w:r>
        <w:rPr>
          <w:b w:val="false"/>
          <w:bCs w:val="false"/>
        </w:rPr>
        <w:t xml:space="preserve">83</w:t>
      </w:r>
    </w:p>
    <w:p>
      <w:pPr>
        <w:keepNext w:val="false"/>
      </w:pPr>
      <w:r>
        <w:rPr>
          <w:b w:val="false"/>
          <w:bCs w:val="false"/>
        </w:rPr>
        <w:t xml:space="preserve">Foto-video</w:t>
      </w:r>
    </w:p>
    <w:p>
      <w:pPr>
        <w:keepNext w:val="false"/>
      </w:pPr>
      <w:r>
        <w:rPr>
          <w:b w:val="false"/>
          <w:bCs w:val="false"/>
        </w:rPr>
        <w:t xml:space="preserve">Istorie</w:t>
      </w:r>
    </w:p>
    <w:p>
      <w:pPr>
        <w:keepNext w:val="false"/>
      </w:pPr>
      <w:r>
        <w:rPr>
          <w:b w:val="false"/>
          <w:bCs w:val="false"/>
        </w:rPr>
        <w:t xml:space="preserve">84</w:t>
      </w:r>
    </w:p>
    <w:p>
      <w:pPr>
        <w:keepNext w:val="false"/>
      </w:pPr>
      <w:r>
        <w:rPr>
          <w:b w:val="false"/>
          <w:bCs w:val="false"/>
        </w:rPr>
        <w:t xml:space="preserve">Arheologie</w:t>
      </w:r>
    </w:p>
    <w:p>
      <w:pPr>
        <w:keepNext w:val="false"/>
      </w:pPr>
      <w:r>
        <w:rPr>
          <w:b w:val="false"/>
          <w:bCs w:val="false"/>
        </w:rPr>
        <w:t xml:space="preserve">85</w:t>
      </w:r>
    </w:p>
    <w:p>
      <w:pPr>
        <w:keepNext w:val="false"/>
      </w:pPr>
      <w:r>
        <w:rPr>
          <w:b w:val="false"/>
          <w:bCs w:val="false"/>
        </w:rPr>
        <w:t xml:space="preserve">Patrimoniu cultural și natural</w:t>
      </w:r>
    </w:p>
    <w:p>
      <w:pPr>
        <w:keepNext w:val="false"/>
      </w:pPr>
      <w:r>
        <w:rPr>
          <w:b w:val="false"/>
          <w:bCs w:val="false"/>
        </w:rPr>
        <w:t xml:space="preserve">Patrimoniu cultural imobil/ monumente istorice</w:t>
      </w:r>
    </w:p>
    <w:p>
      <w:pPr>
        <w:keepNext w:val="false"/>
      </w:pPr>
      <w:r>
        <w:rPr>
          <w:b w:val="false"/>
          <w:bCs w:val="false"/>
        </w:rPr>
        <w:t xml:space="preserve">Patrimoniu cultural mobil</w:t>
      </w:r>
    </w:p>
    <w:p>
      <w:pPr>
        <w:keepNext w:val="false"/>
      </w:pPr>
      <w:r>
        <w:rPr>
          <w:b w:val="false"/>
          <w:bCs w:val="false"/>
        </w:rPr>
        <w:t xml:space="preserve">Patrimoniu cultural imaterial</w:t>
      </w:r>
    </w:p>
    <w:p>
      <w:pPr>
        <w:keepNext w:val="false"/>
      </w:pPr>
      <w:r>
        <w:rPr>
          <w:b w:val="false"/>
          <w:bCs w:val="false"/>
        </w:rPr>
        <w:t xml:space="preserve">Patrimoniu natural</w:t>
      </w:r>
    </w:p>
    <w:p>
      <w:pPr>
        <w:keepNext w:val="false"/>
      </w:pPr>
      <w:r>
        <w:rPr>
          <w:b w:val="false"/>
          <w:bCs w:val="false"/>
        </w:rPr>
        <w:t xml:space="preserve">86</w:t>
      </w:r>
    </w:p>
    <w:p>
      <w:pPr>
        <w:keepNext w:val="false"/>
      </w:pPr>
      <w:r>
        <w:rPr>
          <w:b w:val="false"/>
          <w:bCs w:val="false"/>
        </w:rPr>
        <w:t xml:space="preserve">Evaluarea bunurilor imobile</w:t>
      </w:r>
    </w:p>
    <w:p>
      <w:pPr>
        <w:keepNext w:val="false"/>
      </w:pPr>
      <w:r>
        <w:rPr>
          <w:b w:val="false"/>
          <w:bCs w:val="false"/>
        </w:rPr>
        <w:t xml:space="preserve">87</w:t>
      </w:r>
    </w:p>
    <w:p>
      <w:pPr>
        <w:keepNext w:val="false"/>
      </w:pPr>
      <w:r>
        <w:rPr>
          <w:b w:val="false"/>
          <w:bCs w:val="false"/>
        </w:rPr>
        <w:t xml:space="preserve">Evaluarea bunurilor mobile</w:t>
      </w:r>
    </w:p>
    <w:p>
      <w:pPr>
        <w:keepNext w:val="false"/>
      </w:pPr>
      <w:r>
        <w:rPr>
          <w:b w:val="false"/>
          <w:bCs w:val="false"/>
        </w:rPr>
        <w:t xml:space="preserve">88</w:t>
      </w:r>
    </w:p>
    <w:p>
      <w:pPr>
        <w:keepNext w:val="false"/>
      </w:pPr>
      <w:r>
        <w:rPr>
          <w:b w:val="false"/>
          <w:bCs w:val="false"/>
        </w:rPr>
        <w:t xml:space="preserve">Evaluarea de întreprinderi</w:t>
      </w:r>
    </w:p>
    <w:p>
      <w:pPr>
        <w:keepNext w:val="false"/>
      </w:pPr>
      <w:r>
        <w:rPr>
          <w:b w:val="false"/>
          <w:bCs w:val="false"/>
        </w:rPr>
        <w:t xml:space="preserve">89</w:t>
      </w:r>
    </w:p>
    <w:p>
      <w:pPr>
        <w:keepNext w:val="false"/>
      </w:pPr>
      <w:r>
        <w:rPr>
          <w:b w:val="false"/>
          <w:bCs w:val="false"/>
        </w:rPr>
        <w:t xml:space="preserve">Proprietate intelectuală (1) - Dreptul de autor și drepturile conexe</w:t>
      </w:r>
    </w:p>
    <w:p>
      <w:pPr>
        <w:keepNext w:val="false"/>
      </w:pPr>
      <w:r>
        <w:rPr>
          <w:b w:val="false"/>
          <w:bCs w:val="false"/>
        </w:rPr>
        <w:t xml:space="preserve">90</w:t>
      </w:r>
    </w:p>
    <w:p>
      <w:pPr>
        <w:keepNext w:val="false"/>
      </w:pPr>
      <w:r>
        <w:rPr>
          <w:b w:val="false"/>
          <w:bCs w:val="false"/>
        </w:rPr>
        <w:t xml:space="preserve">Proprietate intelectuală (2) - Proprietate industrială</w:t>
      </w:r>
    </w:p>
    <w:p>
      <w:pPr>
        <w:keepNext w:val="false"/>
      </w:pPr>
      <w:r>
        <w:rPr>
          <w:b w:val="false"/>
          <w:bCs w:val="false"/>
        </w:rPr>
        <w:t xml:space="preserve">Proprietate industrială (1) - Brevete de invenție</w:t>
      </w:r>
    </w:p>
    <w:p>
      <w:pPr>
        <w:keepNext w:val="false"/>
      </w:pPr>
      <w:r>
        <w:rPr>
          <w:b w:val="false"/>
          <w:bCs w:val="false"/>
        </w:rPr>
        <w:t xml:space="preserve">Proprietate industrială (2) - Mărci și indicații geografice</w:t>
      </w:r>
    </w:p>
    <w:p>
      <w:pPr>
        <w:keepNext w:val="false"/>
      </w:pPr>
      <w:r>
        <w:rPr>
          <w:b w:val="false"/>
          <w:bCs w:val="false"/>
        </w:rPr>
        <w:t xml:space="preserve">Proprietate industrială (3) - Desene și modele industriale</w:t>
      </w:r>
    </w:p>
    <w:p>
      <w:pPr>
        <w:keepNext w:val="false"/>
      </w:pPr>
      <w:r>
        <w:rPr>
          <w:b w:val="false"/>
          <w:bCs w:val="false"/>
        </w:rPr>
        <w:t xml:space="preserve">Proprietate industrială (4) - Topografii de circuite integrate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Ordinul MJ nr. 1.190/C/2023 — Nomenclatorul specializărilor</dc:title>
  <dc:creator>CadLogic</dc:creator>
  <dc:description>Sursa oficială: https://legislatie.just.ro/Public/DetaliiDocument/272252</dc:description>
  <cp:lastModifiedBy>Un-named</cp:lastModifiedBy>
  <cp:revision>1</cp:revision>
  <dcterms:created xsi:type="dcterms:W3CDTF">2026-10-31T03:01:28.166Z</dcterms:created>
  <dcterms:modified xsi:type="dcterms:W3CDTF">2026-10-31T03:01:28.166Z</dcterms:modified>
</cp:coreProperties>
</file>

<file path=docProps/custom.xml><?xml version="1.0" encoding="utf-8"?>
<Properties xmlns="http://schemas.openxmlformats.org/officeDocument/2006/custom-properties" xmlns:vt="http://schemas.openxmlformats.org/officeDocument/2006/docPropsVTypes"/>
</file>