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21 iunie 2023</w:t>
      </w:r>
    </w:p>
    <w:p>
      <w:pPr>
        <w:pStyle w:val="Title"/>
        <w:keepNext/>
      </w:pPr>
      <w:r>
        <w:rPr>
          <w:b/>
          <w:bCs/>
        </w:rPr>
        <w:t xml:space="preserve">privind avizarea tehnică a expertizelor judiciare efectuate de experții judiciari în specialitatea topografie, cadastru și geodezie</w:t>
      </w:r>
    </w:p>
    <w:p>
      <w:pPr>
        <w:keepNext w:val="false"/>
      </w:pPr>
      <w:r>
        <w:rPr>
          <w:b w:val="false"/>
          <w:bCs w:val="false"/>
        </w:rPr>
        <w:t xml:space="preserve">EMITENT</w:t>
      </w:r>
    </w:p>
    <w:p>
      <w:pPr>
        <w:keepNext w:val="false"/>
      </w:pPr>
      <w:r>
        <w:rPr>
          <w:b w:val="false"/>
          <w:bCs w:val="false"/>
        </w:rPr>
        <w:t xml:space="preserve">AGENȚIA NAȚIONALĂ DE CADASTRU ȘI PUBLICITATE IMOBILIARĂ</w:t>
      </w:r>
    </w:p>
    <w:p>
      <w:pPr>
        <w:keepNext w:val="false"/>
      </w:pPr>
      <w:r>
        <w:rPr>
          <w:b w:val="false"/>
          <w:bCs w:val="false"/>
        </w:rPr>
        <w:t xml:space="preserve">Publicat în</w:t>
      </w:r>
    </w:p>
    <w:p>
      <w:pPr>
        <w:keepNext w:val="false"/>
      </w:pPr>
      <w:r>
        <w:rPr>
          <w:b w:val="false"/>
          <w:bCs w:val="false"/>
        </w:rPr>
        <w:t xml:space="preserve">MONITORUL OFICIAL nr. 586 din 28 iunie 2023</w:t>
      </w:r>
    </w:p>
    <w:p>
      <w:pPr>
        <w:keepNext w:val="false"/>
      </w:pPr>
      <w:r>
        <w:rPr>
          <w:b w:val="false"/>
          <w:bCs w:val="false"/>
        </w:rPr>
        <w:t xml:space="preserve">Notă</w:t>
      </w:r>
    </w:p>
    <w:p>
      <w:pPr>
        <w:keepNext w:val="false"/>
      </w:pPr>
      <w:r>
        <w:rPr>
          <w:b w:val="false"/>
          <w:bCs w:val="false"/>
        </w:rPr>
        <w:t xml:space="preserve">Aprobat prin ORDINUL nr. 1.218 din 21 iunie 2023, publicat în Monitorul Oficial al României, Partea I, nr. 586 din 28 iunie 2023.</w:t>
      </w:r>
    </w:p>
    <w:p>
      <w:pPr>
        <w:keepNext/>
      </w:pPr>
      <w:r>
        <w:rPr>
          <w:b/>
          <w:bCs/>
        </w:rPr>
        <w:t xml:space="preserve">Articolul 1</w:t>
      </w:r>
    </w:p>
    <w:p>
      <w:pPr>
        <w:keepNext w:val="false"/>
      </w:pPr>
      <w:r>
        <w:rPr>
          <w:b w:val="false"/>
          <w:bCs w:val="false"/>
        </w:rPr>
        <w:t xml:space="preserve">(1) Prezentul regulament stabilește modalitatea de avizare tehnică a expertizelor judiciare efectuate de experții judiciari în specialitatea topografie, cadastru și geodezie și este elaborat în aplicarea dispozițiilor art. 4 lit. l) din Legea cadastrului și a publicității imobiliare nr. 7/1996, republicată, cu modificările și completările ulterioare.</w:t>
      </w:r>
    </w:p>
    <w:p>
      <w:pPr>
        <w:keepNext w:val="false"/>
      </w:pPr>
      <w:r>
        <w:rPr>
          <w:b w:val="false"/>
          <w:bCs w:val="false"/>
        </w:rPr>
        <w:t xml:space="preserve">(2) În sensul prezentului regulament, termenii și expresiile de mai jos au următoarele semnificații:</w:t>
      </w:r>
    </w:p>
    <w:p>
      <w:pPr>
        <w:keepNext w:val="false"/>
      </w:pPr>
      <w:r>
        <w:rPr>
          <w:b w:val="false"/>
          <w:bCs w:val="false"/>
        </w:rPr>
        <w:t xml:space="preserve">a) zonă de interes - suprafață de teren, definită spațial prin intermediul unui poligon, în limitele căreia se desfășoară activități specifice expertizelor tehnice judiciare în specialitatea topografie, cadastru și geodezie;</w:t>
      </w:r>
    </w:p>
    <w:p>
      <w:pPr>
        <w:keepNext w:val="false"/>
      </w:pPr>
      <w:r>
        <w:rPr>
          <w:b w:val="false"/>
          <w:bCs w:val="false"/>
        </w:rPr>
        <w:t xml:space="preserve">b) cerere aviz expertiză judiciară - mecanism oficial prin intermediul căruia se stabilește un canal de comunicare, prin mijloace preponderent digitale, între experții tehnici judiciari desemnați de organele judiciare și Agenția Națională de Cadastru și Publicitate Imobiliară;</w:t>
      </w:r>
    </w:p>
    <w:p>
      <w:pPr>
        <w:keepNext w:val="false"/>
      </w:pPr>
      <w:r>
        <w:rPr>
          <w:b w:val="false"/>
          <w:bCs w:val="false"/>
        </w:rPr>
        <w:t xml:space="preserve">c) secțiune de plan - complex structurat de date spațiale și informații de context prin care sunt prezentate caracteristicile elementelor de cadastru și relațiile dintre ele, aferente unei zone geografice;</w:t>
      </w:r>
    </w:p>
    <w:p>
      <w:pPr>
        <w:keepNext w:val="false"/>
      </w:pPr>
      <w:r>
        <w:rPr>
          <w:b w:val="false"/>
          <w:bCs w:val="false"/>
        </w:rPr>
        <w:t xml:space="preserve">d) PAD expertiză judiciară (plan de amplasament și delimitare specific expertizei judiciare) - documentul tehnic care conține informațiile și datele necesare actualizării planului cadastral de carte funciară, realizat pe baza măsurătorilor la teren și a altor informații relevante, generat de sistemul informatic pe baza datelor introduse de expertul tehnic judiciar;</w:t>
      </w:r>
    </w:p>
    <w:p>
      <w:pPr>
        <w:keepNext w:val="false"/>
      </w:pPr>
      <w:r>
        <w:rPr>
          <w:b w:val="false"/>
          <w:bCs w:val="false"/>
        </w:rPr>
        <w:t xml:space="preserve">e) aviz tehnic (raport de verificare) - document formal emis de Agenția Națională de Cadastru și Publicitate Imobiliară, denumită în continuare Agenția Națională, care confirmă sau infirmă respectarea unor reguli și condiții reglementate cu privire la o intenție sau un demers oficial;</w:t>
      </w:r>
    </w:p>
    <w:p>
      <w:pPr>
        <w:keepNext w:val="false"/>
      </w:pPr>
      <w:r>
        <w:rPr>
          <w:b w:val="false"/>
          <w:bCs w:val="false"/>
        </w:rPr>
        <w:t xml:space="preserve">f) erori topologice - situații în care sunt încălcate relațiile admise între obiectele spațiale, aflate în cadrul aceleiași teme spațiale (feature class) sau în teme diferite, proiectate în același sistem de referință. În cazul în care nu este permis ca două obiecte spațiale să ocupe total sau parțial aceeași suprafață de teren, se spune că este definită regula „Must Not Overlap“ (Nu trebuie să se suprapună). Această regulă presupune ca interiorul poligoanelor din aceeași clasă de obiecte spațiale (feature class) să nu se suprapună. Poligoanele care definesc aceste obiecte spațiale pot avea în comun noduri și margini, dar nu pot împărți aceeași suprafață. Încălcarea acestei reguli este cunoscută sub denumirea de „eroare topologică de suprapunere“.</w:t>
      </w:r>
    </w:p>
    <w:p>
      <w:pPr>
        <w:keepNext/>
      </w:pPr>
      <w:r>
        <w:rPr>
          <w:b/>
          <w:bCs/>
        </w:rPr>
        <w:t xml:space="preserve">Articolul 2</w:t>
      </w:r>
    </w:p>
    <w:p>
      <w:pPr>
        <w:keepNext w:val="false"/>
      </w:pPr>
      <w:r>
        <w:rPr>
          <w:b w:val="false"/>
          <w:bCs w:val="false"/>
        </w:rPr>
        <w:t xml:space="preserve">(1) Agenția Națională avizează tehnic expertizele efectuate de experții judiciari în specialitatea topografie, cadastru și geodezie, cu privire la informațiile grafice și/sau textuale preluate din evidențele de cadastru și carte funciară, administrate de Agenția Națională și oficiile teritoriale, în temeiul art. 4 lit. l) din Legea cadastrului și a publicității imobiliare nr. 7/1996, republicată, cu modificările și completările ulterioare.</w:t>
      </w:r>
    </w:p>
    <w:p>
      <w:pPr>
        <w:keepNext w:val="false"/>
      </w:pPr>
      <w:r>
        <w:rPr>
          <w:b w:val="false"/>
          <w:bCs w:val="false"/>
        </w:rPr>
        <w:t xml:space="preserve">(2) Agenția Națională avizează tehnic expertizele judiciare în conformitate cu prevederile art. 336 alin. (3) din Codul de procedură civilă, ale art. 172 din Codul de procedură penală, respectiv ale art. 57 alin. (3) din Ordonanța de urgență a Guvernului nr. 80/2013 privind taxele judiciare de timbru, cu modificările și completările ulterioare.</w:t>
      </w:r>
    </w:p>
    <w:p>
      <w:pPr>
        <w:keepNext/>
      </w:pPr>
      <w:r>
        <w:rPr>
          <w:b/>
          <w:bCs/>
        </w:rPr>
        <w:t xml:space="preserve">Articolul 3</w:t>
      </w:r>
    </w:p>
    <w:p>
      <w:pPr>
        <w:keepNext w:val="false"/>
      </w:pPr>
      <w:r>
        <w:rPr>
          <w:b w:val="false"/>
          <w:bCs w:val="false"/>
        </w:rPr>
        <w:t xml:space="preserve">(1) Avizul tehnic constă în emiterea unui raport de verificare generat de sistemul informatic de cadastru și carte funciară, ce cuprinde:</w:t>
      </w:r>
    </w:p>
    <w:p>
      <w:pPr>
        <w:keepNext w:val="false"/>
      </w:pPr>
      <w:r>
        <w:rPr>
          <w:b w:val="false"/>
          <w:bCs w:val="false"/>
        </w:rPr>
        <w:t xml:space="preserve">a) secțiunea de plan cadastral aferentă zonei de interes;</w:t>
      </w:r>
    </w:p>
    <w:p>
      <w:pPr>
        <w:keepNext w:val="false"/>
      </w:pPr>
      <w:r>
        <w:rPr>
          <w:b w:val="false"/>
          <w:bCs w:val="false"/>
        </w:rPr>
        <w:t xml:space="preserve">b) planurile de amplasament și delimitare aferente fiecărei variante înregistrate de expertul tehnic judiciar.</w:t>
      </w:r>
    </w:p>
    <w:p>
      <w:pPr>
        <w:keepNext w:val="false"/>
      </w:pPr>
      <w:r>
        <w:rPr>
          <w:b w:val="false"/>
          <w:bCs w:val="false"/>
        </w:rPr>
        <w:t xml:space="preserve">(2) Planul de amplasament și delimitare cuprinde elementele spațiale ale planului cadastral și ale tuturor temelor spațiale existente în zona de interes, evidențierea și descrierea erorilor topologice relevante scopului între obiecte din aceeași clasă sau clase diferite.</w:t>
      </w:r>
    </w:p>
    <w:p>
      <w:pPr>
        <w:keepNext w:val="false"/>
      </w:pPr>
      <w:r>
        <w:rPr>
          <w:b w:val="false"/>
          <w:bCs w:val="false"/>
        </w:rPr>
        <w:t xml:space="preserve">(3) Avizul tehnic se furnizează în format digital, prin aplicația informatică de cadastru și carte funciară, sub forma unor fișiere semnate digital cu certificat calificat de tip SEAL:</w:t>
      </w:r>
    </w:p>
    <w:p>
      <w:pPr>
        <w:keepNext w:val="false"/>
      </w:pPr>
      <w:r>
        <w:rPr>
          <w:b w:val="false"/>
          <w:bCs w:val="false"/>
        </w:rPr>
        <w:t xml:space="preserve">a) forma descriptivă, în format pdf (Portable Document Format);</w:t>
      </w:r>
    </w:p>
    <w:p>
      <w:pPr>
        <w:keepNext w:val="false"/>
      </w:pPr>
      <w:r>
        <w:rPr>
          <w:b w:val="false"/>
          <w:bCs w:val="false"/>
        </w:rPr>
        <w:t xml:space="preserve">b) forma spațială, în format vector geospațial (shapefile).</w:t>
      </w:r>
    </w:p>
    <w:p>
      <w:pPr>
        <w:keepNext/>
      </w:pPr>
      <w:r>
        <w:rPr>
          <w:b/>
          <w:bCs/>
        </w:rPr>
        <w:t xml:space="preserve">Articolul 4</w:t>
      </w:r>
    </w:p>
    <w:p>
      <w:pPr>
        <w:keepNext w:val="false"/>
      </w:pPr>
      <w:r>
        <w:rPr>
          <w:b w:val="false"/>
          <w:bCs w:val="false"/>
        </w:rPr>
        <w:t xml:space="preserve">(1) Furnizarea datelor și informațiilor necesare întocmirii raportului de expertiză, precum și avizarea tehnică a expertizelor judiciare sunt scutite de la plata tarifelor datorate Agenției Naționale sau oficiilor teritoriale.</w:t>
      </w:r>
    </w:p>
    <w:p>
      <w:pPr>
        <w:keepNext w:val="false"/>
      </w:pPr>
      <w:r>
        <w:rPr>
          <w:b w:val="false"/>
          <w:bCs w:val="false"/>
        </w:rPr>
        <w:t xml:space="preserve">(2) În baza documentelor din care rezultă numirea acestora, experții tehnici judiciari în specialitatea topografie, cadastru și geodezie pot solicita oficiului teritorial orice informații și înscrisuri necesare pentru întocmirea raportului de expertiză, prin intermediul cererilor privind avizarea expertizei tehnice judiciare.</w:t>
      </w:r>
    </w:p>
    <w:p>
      <w:pPr>
        <w:keepNext w:val="false"/>
      </w:pPr>
      <w:r>
        <w:rPr>
          <w:b w:val="false"/>
          <w:bCs w:val="false"/>
        </w:rPr>
        <w:t xml:space="preserve">(3) În vederea furnizării informațiilor, cererea privind avizarea expertizei tehnice judiciare se înregistrează exclusiv online și cuprinde, fără a se limita la acestea, următoarele:</w:t>
      </w:r>
    </w:p>
    <w:p>
      <w:pPr>
        <w:keepNext w:val="false"/>
      </w:pPr>
      <w:r>
        <w:rPr>
          <w:b w:val="false"/>
          <w:bCs w:val="false"/>
        </w:rPr>
        <w:t xml:space="preserve">a) informații privind expertul tehnic judiciar și organul judiciar care a dispus avizarea expertizei;</w:t>
      </w:r>
    </w:p>
    <w:p>
      <w:pPr>
        <w:keepNext w:val="false"/>
      </w:pPr>
      <w:r>
        <w:rPr>
          <w:b w:val="false"/>
          <w:bCs w:val="false"/>
        </w:rPr>
        <w:t xml:space="preserve">b) conturul zonei de interes;</w:t>
      </w:r>
    </w:p>
    <w:p>
      <w:pPr>
        <w:keepNext w:val="false"/>
      </w:pPr>
      <w:r>
        <w:rPr>
          <w:b w:val="false"/>
          <w:bCs w:val="false"/>
        </w:rPr>
        <w:t xml:space="preserve">c) solicitări privind documente existente în arhivă.</w:t>
      </w:r>
    </w:p>
    <w:p>
      <w:pPr>
        <w:keepNext w:val="false"/>
      </w:pPr>
      <w:r>
        <w:rPr>
          <w:b w:val="false"/>
          <w:bCs w:val="false"/>
        </w:rPr>
        <w:t xml:space="preserve">(4) Conturul zonei de interes și metadatele aferente se vor afișa public prin mijloace digitale.</w:t>
      </w:r>
    </w:p>
    <w:p>
      <w:pPr>
        <w:keepNext w:val="false"/>
      </w:pPr>
      <w:r>
        <w:rPr>
          <w:b w:val="false"/>
          <w:bCs w:val="false"/>
        </w:rPr>
        <w:t xml:space="preserve">(5) Cererii prevăzute la alin. (3) i se atașează mandatul din care rezultă numirea expertului tehnic judiciar și identificarea zonei/imobilului care face obiectul expertizei.</w:t>
      </w:r>
    </w:p>
    <w:p>
      <w:pPr>
        <w:keepNext w:val="false"/>
      </w:pPr>
      <w:r>
        <w:rPr>
          <w:b w:val="false"/>
          <w:bCs w:val="false"/>
        </w:rPr>
        <w:t xml:space="preserve">(6) Persoana desemnată cu procesarea cererii va furniza toate informațiile suplimentare relevante, existente în evidențele de cadastru și carte funciară, care nu sunt disponibile în sistemul informatic la momentul înregistrării cererii. În funcție de natura lor, informațiile suplimentare vor fi actualizate în cadrul sistemului informatic, atașate cererii privind avizarea expertizei tehnice judiciare sau vor fi furnizate expertului judiciar prin alte metode precizate de acesta, în condițiile art. 56 alin. (1) și (4) din Regulamentul de recepție și înscriere în evidențele de cadastru și carte funciară, aprobat prin Ordinul directorului general al Agenției Naționale de Cadastru și Publicitate Imobiliară nr. 600/2023.</w:t>
      </w:r>
    </w:p>
    <w:p>
      <w:pPr>
        <w:keepNext/>
      </w:pPr>
      <w:r>
        <w:rPr>
          <w:b/>
          <w:bCs/>
        </w:rPr>
        <w:t xml:space="preserve">Articolul 5</w:t>
      </w:r>
    </w:p>
    <w:p>
      <w:pPr>
        <w:keepNext w:val="false"/>
      </w:pPr>
      <w:r>
        <w:rPr>
          <w:b w:val="false"/>
          <w:bCs w:val="false"/>
        </w:rPr>
        <w:t xml:space="preserve">(1) În vederea avizării tehnice a expertizei judiciare, expertul atașează cererii prevăzute la art. 4 alin. (3) și încarcă în sistem următoarele informații:</w:t>
      </w:r>
    </w:p>
    <w:p>
      <w:pPr>
        <w:keepNext w:val="false"/>
      </w:pPr>
      <w:r>
        <w:rPr>
          <w:b w:val="false"/>
          <w:bCs w:val="false"/>
        </w:rPr>
        <w:t xml:space="preserve">a) memoriul tehnic;</w:t>
      </w:r>
    </w:p>
    <w:p>
      <w:pPr>
        <w:keepNext w:val="false"/>
      </w:pPr>
      <w:r>
        <w:rPr>
          <w:b w:val="false"/>
          <w:bCs w:val="false"/>
        </w:rPr>
        <w:t xml:space="preserve">b) datele spațiale cu privire la imobilele care fac obiectul expertizei, rezultate din măsurătorile efectuate la teren, prin raportare la obiectivele stabilite de organele judiciare, pe baza cărora sistemul informatic generează PAD-urile variantei/ variantelor încărcate.</w:t>
      </w:r>
    </w:p>
    <w:p>
      <w:pPr>
        <w:keepNext w:val="false"/>
      </w:pPr>
      <w:r>
        <w:rPr>
          <w:b w:val="false"/>
          <w:bCs w:val="false"/>
        </w:rPr>
        <w:t xml:space="preserve">(2) Toate documentele atașate cererii vor fi semnate electronic cu certificat calificat de către deponent.</w:t>
      </w:r>
    </w:p>
    <w:p>
      <w:pPr>
        <w:keepNext w:val="false"/>
      </w:pPr>
      <w:r>
        <w:rPr>
          <w:b w:val="false"/>
          <w:bCs w:val="false"/>
        </w:rPr>
        <w:t xml:space="preserve">(3) Răspunderea pentru corectitudinea datelor și informațiilor încărcate în sistemul informatic, prin raportare la obiectivele stabilite de organele judiciare, revine expertului tehnic judiciar.</w:t>
      </w:r>
    </w:p>
    <w:p>
      <w:pPr>
        <w:keepNext/>
      </w:pPr>
      <w:r>
        <w:rPr>
          <w:b/>
          <w:bCs/>
        </w:rPr>
        <w:t xml:space="preserve">Articolul 6</w:t>
      </w:r>
    </w:p>
    <w:p>
      <w:pPr>
        <w:keepNext w:val="false"/>
      </w:pPr>
      <w:r>
        <w:rPr>
          <w:b w:val="false"/>
          <w:bCs w:val="false"/>
        </w:rPr>
        <w:t xml:space="preserve">Raportul de verificare generat de sistem cuprinde, fără a se limita la acestea, informații privind:</w:t>
      </w:r>
    </w:p>
    <w:p>
      <w:pPr>
        <w:keepNext w:val="false"/>
      </w:pPr>
      <w:r>
        <w:rPr>
          <w:b w:val="false"/>
          <w:bCs w:val="false"/>
        </w:rPr>
        <w:t xml:space="preserve">a) numărul de înregistrare al cererii în registrul general de intrare;</w:t>
      </w:r>
    </w:p>
    <w:p>
      <w:pPr>
        <w:keepNext w:val="false"/>
      </w:pPr>
      <w:r>
        <w:rPr>
          <w:b w:val="false"/>
          <w:bCs w:val="false"/>
        </w:rPr>
        <w:t xml:space="preserve">b) numărul dosarului în care a fost dispusă efectuarea expertizei judiciare și denumirea instanței pe rolul căreia se află dosarul;</w:t>
      </w:r>
    </w:p>
    <w:p>
      <w:pPr>
        <w:keepNext w:val="false"/>
      </w:pPr>
      <w:r>
        <w:rPr>
          <w:b w:val="false"/>
          <w:bCs w:val="false"/>
        </w:rPr>
        <w:t xml:space="preserve">c) numele și prenumele expertului tehnic judiciar;</w:t>
      </w:r>
    </w:p>
    <w:p>
      <w:pPr>
        <w:keepNext w:val="false"/>
      </w:pPr>
      <w:r>
        <w:rPr>
          <w:b w:val="false"/>
          <w:bCs w:val="false"/>
        </w:rPr>
        <w:t xml:space="preserve">d) identificatorii imobilelor înregistrate în sistemul integrat de cadastru și carte funciară;</w:t>
      </w:r>
    </w:p>
    <w:p>
      <w:pPr>
        <w:keepNext w:val="false"/>
      </w:pPr>
      <w:r>
        <w:rPr>
          <w:b w:val="false"/>
          <w:bCs w:val="false"/>
        </w:rPr>
        <w:t xml:space="preserve">e) prezentarea și descrierea erorilor topologice.</w:t>
      </w:r>
    </w:p>
    <w:p>
      <w:pPr>
        <w:keepNext/>
      </w:pPr>
      <w:r>
        <w:rPr>
          <w:b/>
          <w:bCs/>
        </w:rPr>
        <w:t xml:space="preserve">Articolul 7</w:t>
      </w:r>
    </w:p>
    <w:p>
      <w:pPr>
        <w:keepNext w:val="false"/>
      </w:pPr>
      <w:r>
        <w:rPr>
          <w:b w:val="false"/>
          <w:bCs w:val="false"/>
        </w:rPr>
        <w:t xml:space="preserve">(1) Ulterior înregistrării raportului de expertiză la instanța de judecată și până la momentul înscrierii/notării hotărârii judecătorești definitive, expertul tehnic judiciar are acces la cererea privind avizarea expertizei tehnice judiciare pentru solicitarea de informații suplimentare, modificarea zonei de interes, modificarea variantelor încărcate, ca urmare a solicitărilor suplimentare ale instanței sau schimbării, extinderii obiectivelor.</w:t>
      </w:r>
    </w:p>
    <w:p>
      <w:pPr>
        <w:keepNext w:val="false"/>
      </w:pPr>
      <w:r>
        <w:rPr>
          <w:b w:val="false"/>
          <w:bCs w:val="false"/>
        </w:rPr>
        <w:t xml:space="preserve">(2) În toată perioada prevăzută la alin. (1), sistemul informatic va transmite notificări pentru orice schimbare survenită în zona de interes, expertul tehnic judiciar având obligația transmiterii acestora către instanța de judecată, în cel mai scurt timp.</w:t>
      </w:r>
    </w:p>
    <w:p>
      <w:pPr>
        <w:keepNext w:val="false"/>
      </w:pPr>
      <w:r>
        <w:rPr>
          <w:b w:val="false"/>
          <w:bCs w:val="false"/>
        </w:rPr>
        <w:t xml:space="preserve">(3) Accesul expertului tehnic judiciar la sistemul informatic, în ceea ce privește modificarea informațiilor aferente cererii privind avizarea expertizei tehnice judiciare, se restrânge odată cu înscrierea/notarea hotărârii judecătorești definitive în cartea funciară, ocazie cu care zona de interes nu va mai fi afișată public.</w:t>
      </w:r>
    </w:p>
    <w:p>
      <w:pPr>
        <w:keepNext/>
      </w:pPr>
      <w:r>
        <w:rPr>
          <w:b/>
          <w:bCs/>
        </w:rPr>
        <w:t xml:space="preserve">Articolul 8</w:t>
      </w:r>
    </w:p>
    <w:p>
      <w:pPr>
        <w:keepNext w:val="false"/>
      </w:pPr>
      <w:r>
        <w:rPr>
          <w:b w:val="false"/>
          <w:bCs w:val="false"/>
        </w:rPr>
        <w:t xml:space="preserve">(1) Agenția Națională își rezervă dreptul de a adopta sau de a schimba regulile de autentificare, cu scopul creșterii nivelului de securitate și protecție a sistemului informatic, ori de câte ori consideră necesar, cu condiția unui anunț prealabil și fără introducerea unor costuri suplimentare semnificative.</w:t>
      </w:r>
    </w:p>
    <w:p>
      <w:pPr>
        <w:keepNext w:val="false"/>
      </w:pPr>
      <w:r>
        <w:rPr>
          <w:b w:val="false"/>
          <w:bCs w:val="false"/>
        </w:rPr>
        <w:t xml:space="preserve">(2) Sub sancțiunea suspendării, limitării sau anulării accesului la sistemul informatic, expertul judiciar are obligația de a utiliza funcționalitățile sistemului informatic corespunzător manualelor și instrucțiunilor de utilizare și de a notifica administratorii de sistem imediat ce observă vulnerabilități sau inadvertențe în modul de funcționare.</w:t>
      </w:r>
    </w:p>
    <w:p>
      <w:pPr>
        <w:keepNext/>
      </w:pPr>
      <w:r>
        <w:rPr>
          <w:b/>
          <w:bCs/>
        </w:rPr>
        <w:t xml:space="preserve">Articolul 9</w:t>
      </w:r>
    </w:p>
    <w:p>
      <w:pPr>
        <w:keepNext w:val="false"/>
      </w:pPr>
      <w:r>
        <w:rPr>
          <w:b w:val="false"/>
          <w:bCs w:val="false"/>
        </w:rPr>
        <w:t xml:space="preserve">Arhivarea documentelor care stau la baza emiterii raportului de verificare se realizează în condițiile art. 28^1 alin. (6) din Legea cadastrului și a publicității imobiliare nr. 7/1996, republicată, cu modificările și completările ulterioare.</w:t>
      </w:r>
    </w:p>
    <w:p>
      <w:pPr>
        <w:keepNext/>
      </w:pPr>
      <w:r>
        <w:rPr>
          <w:b/>
          <w:bCs/>
        </w:rPr>
        <w:t xml:space="preserve">Articolul 10</w:t>
      </w:r>
    </w:p>
    <w:p>
      <w:pPr>
        <w:keepNext w:val="false"/>
      </w:pPr>
      <w:r>
        <w:rPr>
          <w:b w:val="false"/>
          <w:bCs w:val="false"/>
        </w:rPr>
        <w:t xml:space="preserve">Direcția informatică va asigura funcționalitatea sistemului informatic în vederea punerii în aplicare a prevederilor prezentului regulament.</w:t>
      </w:r>
    </w:p>
    <w:p>
      <w:pPr>
        <w:keepNext/>
      </w:pPr>
      <w:r>
        <w:rPr>
          <w:b/>
          <w:bCs/>
        </w:rPr>
        <w:t xml:space="preserve">Articolul 11</w:t>
      </w:r>
    </w:p>
    <w:p>
      <w:pPr>
        <w:keepNext w:val="false"/>
      </w:pPr>
      <w:r>
        <w:rPr>
          <w:b w:val="false"/>
          <w:bCs w:val="false"/>
        </w:rPr>
        <w:t xml:space="preserve">(1) Până la implementarea în sistemul informatic a funcționalităților tehnice necesare punerii în aplicare a prezentului regulament, avizarea expertizelor judiciare se va realiza de către Agenția Națională, prin oficiile teritoriale, conform prevederilor art. 12-14.</w:t>
      </w:r>
    </w:p>
    <w:p>
      <w:pPr>
        <w:keepNext w:val="false"/>
      </w:pPr>
      <w:r>
        <w:rPr>
          <w:b w:val="false"/>
          <w:bCs w:val="false"/>
        </w:rPr>
        <w:t xml:space="preserve">(2) Data la care vor fi implementate în sistemul informatic funcționalitățile tehnice necesare punerii în aplicare va fi comunicată prin afișare pe pagina de internet a Agenției Naționale.</w:t>
      </w:r>
    </w:p>
    <w:p>
      <w:pPr>
        <w:keepNext w:val="false"/>
      </w:pPr>
      <w:r>
        <w:rPr>
          <w:b w:val="false"/>
          <w:bCs w:val="false"/>
        </w:rPr>
        <w:t xml:space="preserve">(la 13-05-2024,</w:t>
      </w:r>
    </w:p>
    <w:p>
      <w:pPr>
        <w:keepNext w:val="false"/>
      </w:pPr>
      <w:r>
        <w:rPr>
          <w:b w:val="false"/>
          <w:bCs w:val="false"/>
        </w:rPr>
        <w:t xml:space="preserve">Actul a fost completat de Articolul I din ORDINUL nr. 423 din 22 aprilie 2024, publicat în MONITORUL OFICIAL nr. 437 din 13 mai 2024</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Avizarea tehnică a expertizei judiciare conform art. 11 se realizează exclusiv cu privire la informațiile grafice și/sau textuale preluate din bazele de date digitale și/sau arhivele analogice gestionate de Agenția Națională și oficiile teritoriale.</w:t>
      </w:r>
    </w:p>
    <w:p>
      <w:pPr>
        <w:keepNext w:val="false"/>
      </w:pPr>
      <w:r>
        <w:rPr>
          <w:b w:val="false"/>
          <w:bCs w:val="false"/>
        </w:rPr>
        <w:t xml:space="preserve">(2) Avizarea tehnică a expertizei judiciare conform art. 11 constă în recepția tehnică a planului de amplasament și delimitare specific expertizei judiciare - PAD EJ, ce face obiectul expertizei. Planul de amplasament și delimitare specific expertizei judiciare se întocmește în sistemul de proiecție Stereografic 1970, în conformitate cu normele tehnice în vigoare.</w:t>
      </w:r>
    </w:p>
    <w:p>
      <w:pPr>
        <w:keepNext w:val="false"/>
      </w:pPr>
      <w:r>
        <w:rPr>
          <w:b w:val="false"/>
          <w:bCs w:val="false"/>
        </w:rPr>
        <w:t xml:space="preserve">(3) Cererea privind avizarea/recepția tehnică prevăzută la alin. (2) și informațiile conținute în planul de amplasament și delimitare specific expertizei judiciare se înregistrează online, direct prin intermediul sistemului informatic pus la dispoziție de Agenția Națională, pe flux de recepție tehnică-expertize, și este însoțită de următoarele documente în format digital - fișier .pdf, semnate cu semnătură electronică calificată:</w:t>
      </w:r>
    </w:p>
    <w:p>
      <w:pPr>
        <w:keepNext w:val="false"/>
      </w:pPr>
      <w:r>
        <w:rPr>
          <w:b w:val="false"/>
          <w:bCs w:val="false"/>
        </w:rPr>
        <w:t xml:space="preserve">a) memoriul tehnic;</w:t>
      </w:r>
    </w:p>
    <w:p>
      <w:pPr>
        <w:keepNext w:val="false"/>
      </w:pPr>
      <w:r>
        <w:rPr>
          <w:b w:val="false"/>
          <w:bCs w:val="false"/>
        </w:rPr>
        <w:t xml:space="preserve">b) planul de amplasament și delimitare specific expertizei judiciare, întocmit la o scară convenabilă, cuprinsă între 1:200-1:5000;</w:t>
      </w:r>
    </w:p>
    <w:p>
      <w:pPr>
        <w:keepNext w:val="false"/>
      </w:pPr>
      <w:r>
        <w:rPr>
          <w:b w:val="false"/>
          <w:bCs w:val="false"/>
        </w:rPr>
        <w:t xml:space="preserve">c) înscrisurile din care rezultă numirea expertului și identificarea imobilului/zonei care face obiectul expertizei (adresa sau încheierea instanței de judecată, alte documente).</w:t>
      </w:r>
    </w:p>
    <w:p>
      <w:pPr>
        <w:keepNext w:val="false"/>
      </w:pPr>
      <w:r>
        <w:rPr>
          <w:b w:val="false"/>
          <w:bCs w:val="false"/>
        </w:rPr>
        <w:t xml:space="preserve">(4) Răspunderea pentru corectitudinea întocmirii planului de amplasament și delimitare specific expertizei judiciare cu privire la reprezentarea situației reale de la teren, prin raportare la obiectivele stabilite de instanța de judecată, revine expertului judiciar, acesta având obligația să identifice zona studiată și să execute măsurătorile la fața locului.</w:t>
      </w:r>
    </w:p>
    <w:p>
      <w:pPr>
        <w:keepNext w:val="false"/>
      </w:pPr>
      <w:r>
        <w:rPr>
          <w:b w:val="false"/>
          <w:bCs w:val="false"/>
        </w:rPr>
        <w:t xml:space="preserve">(la 13-05-2024,</w:t>
      </w:r>
    </w:p>
    <w:p>
      <w:pPr>
        <w:keepNext w:val="false"/>
      </w:pPr>
      <w:r>
        <w:rPr>
          <w:b w:val="false"/>
          <w:bCs w:val="false"/>
        </w:rPr>
        <w:t xml:space="preserve">Actul a fost completat de Articolul I din ORDINUL nr. 423 din 22 aprilie 2024, publicat în MONITORUL OFICIAL nr. 437 din 13 mai 2024</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(1) Recepția tehnică a planului de amplasament și delimitare specific expertizei judiciare se realizează, fără a se atribui număr cadastral, prin verificarea:</w:t>
      </w:r>
    </w:p>
    <w:p>
      <w:pPr>
        <w:keepNext w:val="false"/>
      </w:pPr>
      <w:r>
        <w:rPr>
          <w:b w:val="false"/>
          <w:bCs w:val="false"/>
        </w:rPr>
        <w:t xml:space="preserve">a) modului de utilizare a informațiilor preluate din sistemul integrat de cadastru și carte funciară și a celorlalte informații furnizate de Agenția Națională sau oficiul teritorial pentru realizarea planului;</w:t>
      </w:r>
    </w:p>
    <w:p>
      <w:pPr>
        <w:keepNext w:val="false"/>
      </w:pPr>
      <w:r>
        <w:rPr>
          <w:b w:val="false"/>
          <w:bCs w:val="false"/>
        </w:rPr>
        <w:t xml:space="preserve">b) existenței suprapunerilor dintre imobilele înregistrate în sistemul integrat de cadastru și carte funciară și cele reprezentate pe PAD, care fac obiectul expertizei, constatarea suprapunerilor neconstituind piedică la avizare;</w:t>
      </w:r>
    </w:p>
    <w:p>
      <w:pPr>
        <w:keepNext w:val="false"/>
      </w:pPr>
      <w:r>
        <w:rPr>
          <w:b w:val="false"/>
          <w:bCs w:val="false"/>
        </w:rPr>
        <w:t xml:space="preserve">c) încadrării acestuia în sistemul național de proiecție Stereografic 1970;</w:t>
      </w:r>
    </w:p>
    <w:p>
      <w:pPr>
        <w:keepNext w:val="false"/>
      </w:pPr>
      <w:r>
        <w:rPr>
          <w:b w:val="false"/>
          <w:bCs w:val="false"/>
        </w:rPr>
        <w:t xml:space="preserve">d) determinării suprafeței imobilului/zonei care face obiectul expertizei.</w:t>
      </w:r>
    </w:p>
    <w:p>
      <w:pPr>
        <w:keepNext w:val="false"/>
      </w:pPr>
      <w:r>
        <w:rPr>
          <w:b w:val="false"/>
          <w:bCs w:val="false"/>
        </w:rPr>
        <w:t xml:space="preserve">(2) Recepția tehnică efectuată potrivit alin. (1) se finalizează cu emiterea de către oficiul teritorial a:</w:t>
      </w:r>
    </w:p>
    <w:p>
      <w:pPr>
        <w:keepNext w:val="false"/>
      </w:pPr>
      <w:r>
        <w:rPr>
          <w:b w:val="false"/>
          <w:bCs w:val="false"/>
        </w:rPr>
        <w:t xml:space="preserve">a) procesului-verbal de recepție;</w:t>
      </w:r>
    </w:p>
    <w:p>
      <w:pPr>
        <w:keepNext w:val="false"/>
      </w:pPr>
      <w:r>
        <w:rPr>
          <w:b w:val="false"/>
          <w:bCs w:val="false"/>
        </w:rPr>
        <w:t xml:space="preserve">b) notei de completare, în cazul în care informațiile prevăzute la art. 12 alin. (3) sunt incomplete sau lipsesc. Dacă după emiterea notei de completare nu se prezintă documentele sau informațiile solicitate ori termenul prevăzut în nota de completare este depășit, lucrarea este declarată respinsă.</w:t>
      </w:r>
    </w:p>
    <w:p>
      <w:pPr>
        <w:keepNext w:val="false"/>
      </w:pPr>
      <w:r>
        <w:rPr>
          <w:b w:val="false"/>
          <w:bCs w:val="false"/>
        </w:rPr>
        <w:t xml:space="preserve">(3) Procesul-verbal de recepție cuprinde, dar fără a se limita la acestea, următoarele informații: numărul de înregistrare al cererii în registrul general de intrare, numărul dosarului care face obiectul expertizei judiciare și denumirea instanței pe rolul căreia se află dosarul, numele și prenumele expertului judiciar care a întocmit raportul de expertiză, identificatorul cadastral și/sau de carte funciară al imobilului înregistrat în evidențele de cadastru și carte funciară.</w:t>
      </w:r>
    </w:p>
    <w:p>
      <w:pPr>
        <w:keepNext w:val="false"/>
      </w:pPr>
      <w:r>
        <w:rPr>
          <w:b w:val="false"/>
          <w:bCs w:val="false"/>
        </w:rPr>
        <w:t xml:space="preserve">(4) Procesul-verbal de recepție, emis în condițiile art. 28^1 alin. (5) din Legea cadastrului și a publicității imobiliare nr. 7/1996, republicată, cu modificările și completările ulterioare, și planul de amplasament și delimitare specific expertizei judiciare, recepționat de oficiul teritorial, se comunică exclusiv expertului judiciar, prin intermediul sistemului informatic.</w:t>
      </w:r>
    </w:p>
    <w:p>
      <w:pPr>
        <w:keepNext w:val="false"/>
      </w:pPr>
      <w:r>
        <w:rPr>
          <w:b w:val="false"/>
          <w:bCs w:val="false"/>
        </w:rPr>
        <w:t xml:space="preserve">(la 13-05-2024,</w:t>
      </w:r>
    </w:p>
    <w:p>
      <w:pPr>
        <w:keepNext w:val="false"/>
      </w:pPr>
      <w:r>
        <w:rPr>
          <w:b w:val="false"/>
          <w:bCs w:val="false"/>
        </w:rPr>
        <w:t xml:space="preserve">Actul a fost completat de Articolul I din ORDINUL nr. 423 din 22 aprilie 2024, publicat în MONITORUL OFICIAL nr. 437 din 13 mai 2024</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Dispozițiile prezentului regulament se completează, în măsura în care nu contravin, cu cele ale Regulamentului de recepție și înscriere în evidențele de cadastru și carte funciară, aprobat prin Ordinul directorului general al Agenției Naționale de Cadastru și Publicitate Imobiliară nr. 600/2023, cu modificările și completările ulterioare.</w:t>
      </w:r>
    </w:p>
    <w:p>
      <w:pPr>
        <w:keepNext w:val="false"/>
      </w:pPr>
      <w:r>
        <w:rPr>
          <w:b w:val="false"/>
          <w:bCs w:val="false"/>
        </w:rPr>
        <w:t xml:space="preserve">(la 13-05-2024,</w:t>
      </w:r>
    </w:p>
    <w:p>
      <w:pPr>
        <w:keepNext w:val="false"/>
      </w:pPr>
      <w:r>
        <w:rPr>
          <w:b w:val="false"/>
          <w:bCs w:val="false"/>
        </w:rPr>
        <w:t xml:space="preserve">Actul a fost completat de Articolul I din ORDINUL nr. 423 din 22 aprilie 2024, publicat în MONITORUL OFICIAL nr. 437 din 13 mai 2024</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avizare expertize judiciare (anexa la Ordinul ANCPI nr. 1.218/2023)</dc:title>
  <dc:creator>CadLogic</dc:creator>
  <dc:description>Sursa oficială: https://legislatie.just.ro/Public/DetaliiDocument/282217</dc:description>
  <cp:lastModifiedBy>Un-named</cp:lastModifiedBy>
  <cp:revision>1</cp:revision>
  <dcterms:created xsi:type="dcterms:W3CDTF">2026-10-31T03:00:41.199Z</dcterms:created>
  <dcterms:modified xsi:type="dcterms:W3CDTF">2026-10-31T03:00:41.199Z</dcterms:modified>
</cp:coreProperties>
</file>

<file path=docProps/custom.xml><?xml version="1.0" encoding="utf-8"?>
<Properties xmlns="http://schemas.openxmlformats.org/officeDocument/2006/custom-properties" xmlns:vt="http://schemas.openxmlformats.org/officeDocument/2006/docPropsVTypes"/>
</file>